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D923" w14:textId="77777777" w:rsidR="00A06582" w:rsidRPr="00A06582" w:rsidRDefault="00A06582" w:rsidP="00A06582">
      <w:pPr>
        <w:rPr>
          <w:lang w:val="fr-CA"/>
        </w:rPr>
      </w:pPr>
      <w:bookmarkStart w:id="0" w:name="_Hlk11926065"/>
      <w:r>
        <w:rPr>
          <w:noProof/>
        </w:rPr>
        <w:drawing>
          <wp:inline distT="0" distB="0" distL="0" distR="0" wp14:anchorId="593E71EC" wp14:editId="3960E0DC">
            <wp:extent cx="962025" cy="1124260"/>
            <wp:effectExtent l="0" t="0" r="0" b="0"/>
            <wp:docPr id="9" name="Image 6" descr="Le logo du Séna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descr="Le logo du Sénat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710" cy="1129736"/>
                    </a:xfrm>
                    <a:prstGeom prst="rect">
                      <a:avLst/>
                    </a:prstGeom>
                    <a:noFill/>
                    <a:ln>
                      <a:noFill/>
                    </a:ln>
                  </pic:spPr>
                </pic:pic>
              </a:graphicData>
            </a:graphic>
          </wp:inline>
        </w:drawing>
      </w:r>
      <w:bookmarkEnd w:id="0"/>
      <w:r w:rsidRPr="00A06582">
        <w:rPr>
          <w:lang w:val="fr-CA"/>
        </w:rPr>
        <w:t xml:space="preserve">   </w:t>
      </w:r>
    </w:p>
    <w:p w14:paraId="56D573A6" w14:textId="59768823" w:rsidR="002C0391" w:rsidRDefault="002C0391" w:rsidP="00A06582">
      <w:pPr>
        <w:pStyle w:val="Title"/>
        <w:rPr>
          <w:szCs w:val="72"/>
          <w:lang w:val="fr-CA"/>
        </w:rPr>
      </w:pPr>
      <w:r w:rsidRPr="00CB16E5">
        <w:rPr>
          <w:noProof/>
          <w:szCs w:val="72"/>
          <w:lang w:val="fr-CA"/>
        </w:rPr>
        <mc:AlternateContent>
          <mc:Choice Requires="wps">
            <w:drawing>
              <wp:anchor distT="0" distB="0" distL="114300" distR="114300" simplePos="0" relativeHeight="251659264" behindDoc="0" locked="0" layoutInCell="1" allowOverlap="1" wp14:anchorId="22E1F7EC" wp14:editId="79FA8486">
                <wp:simplePos x="0" y="0"/>
                <wp:positionH relativeFrom="column">
                  <wp:posOffset>-922655</wp:posOffset>
                </wp:positionH>
                <wp:positionV relativeFrom="paragraph">
                  <wp:posOffset>849356</wp:posOffset>
                </wp:positionV>
                <wp:extent cx="5702060" cy="0"/>
                <wp:effectExtent l="0" t="38100" r="13335" b="3810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2060" cy="0"/>
                        </a:xfrm>
                        <a:prstGeom prst="line">
                          <a:avLst/>
                        </a:prstGeom>
                        <a:ln w="76200">
                          <a:solidFill>
                            <a:srgbClr val="74AD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935BD" id="Connecteur droit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65pt,66.9pt" to="376.3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" strokecolor="#74adad" strokeweight="6pt">
                <v:stroke joinstyle="miter"/>
              </v:line>
            </w:pict>
          </mc:Fallback>
        </mc:AlternateContent>
      </w:r>
    </w:p>
    <w:p w14:paraId="20B93E70" w14:textId="12BB5DF7" w:rsidR="002C0391" w:rsidRDefault="002C0391" w:rsidP="00A06582">
      <w:pPr>
        <w:pStyle w:val="Title"/>
        <w:rPr>
          <w:szCs w:val="72"/>
          <w:lang w:val="fr-CA"/>
        </w:rPr>
      </w:pPr>
    </w:p>
    <w:p w14:paraId="419AE7B6" w14:textId="384A5944" w:rsidR="00A06582" w:rsidRPr="006F6268" w:rsidRDefault="00A06582" w:rsidP="00601AD2">
      <w:pPr>
        <w:pStyle w:val="Title"/>
        <w:rPr>
          <w:lang w:val="fr-CA"/>
        </w:rPr>
      </w:pPr>
      <w:r w:rsidRPr="006F6268">
        <w:rPr>
          <w:lang w:val="fr-CA"/>
        </w:rPr>
        <w:t xml:space="preserve">Plan d’accessibilité </w:t>
      </w:r>
      <w:r w:rsidR="00601AD2" w:rsidRPr="006F6268">
        <w:rPr>
          <w:lang w:val="fr-CA"/>
        </w:rPr>
        <w:br/>
      </w:r>
      <w:r w:rsidRPr="006F6268">
        <w:rPr>
          <w:lang w:val="fr-CA"/>
        </w:rPr>
        <w:t>2023–2025</w:t>
      </w:r>
    </w:p>
    <w:p w14:paraId="6EB7FC58" w14:textId="77777777" w:rsidR="00A06582" w:rsidRPr="00A06582" w:rsidRDefault="00A06582" w:rsidP="00A06582">
      <w:pPr>
        <w:rPr>
          <w:lang w:val="fr-CA"/>
        </w:rPr>
      </w:pPr>
    </w:p>
    <w:p w14:paraId="2358A3E5" w14:textId="77777777" w:rsidR="00A06582" w:rsidRPr="00A06582" w:rsidRDefault="00A06582" w:rsidP="00A06582">
      <w:pPr>
        <w:rPr>
          <w:rFonts w:cstheme="minorHAnsi"/>
          <w:lang w:val="fr-CA"/>
        </w:rPr>
      </w:pPr>
    </w:p>
    <w:p w14:paraId="1A945FA3" w14:textId="77777777" w:rsidR="00A06582" w:rsidRPr="00A06582" w:rsidRDefault="00A06582" w:rsidP="00A06582">
      <w:pPr>
        <w:rPr>
          <w:rFonts w:cstheme="minorHAnsi"/>
          <w:lang w:val="fr-CA"/>
        </w:rPr>
      </w:pPr>
    </w:p>
    <w:p w14:paraId="0AB75F45" w14:textId="77777777" w:rsidR="00A06582" w:rsidRPr="00A06582" w:rsidRDefault="00A06582" w:rsidP="00A06582">
      <w:pPr>
        <w:rPr>
          <w:rFonts w:cstheme="minorHAnsi"/>
          <w:lang w:val="fr-CA"/>
        </w:rPr>
      </w:pPr>
    </w:p>
    <w:p w14:paraId="37CEA36C" w14:textId="77777777" w:rsidR="00A06582" w:rsidRPr="00A06582" w:rsidRDefault="00A06582" w:rsidP="00A06582">
      <w:pPr>
        <w:rPr>
          <w:rFonts w:cstheme="minorHAnsi"/>
          <w:lang w:val="fr-CA"/>
        </w:rPr>
      </w:pPr>
    </w:p>
    <w:p w14:paraId="0D603968" w14:textId="77777777" w:rsidR="00A06582" w:rsidRPr="00A06582" w:rsidRDefault="00A06582" w:rsidP="00A06582">
      <w:pPr>
        <w:tabs>
          <w:tab w:val="left" w:pos="7200"/>
        </w:tabs>
        <w:rPr>
          <w:rFonts w:cstheme="minorHAnsi"/>
          <w:lang w:val="fr-CA"/>
        </w:rPr>
      </w:pPr>
      <w:r w:rsidRPr="00A06582">
        <w:rPr>
          <w:rFonts w:cstheme="minorHAnsi"/>
          <w:lang w:val="fr-CA"/>
        </w:rPr>
        <w:tab/>
      </w:r>
    </w:p>
    <w:p w14:paraId="4D1D1706" w14:textId="5B2B62F3" w:rsidR="00F57477" w:rsidRDefault="00F57477" w:rsidP="00A06582">
      <w:pPr>
        <w:jc w:val="right"/>
        <w:rPr>
          <w:lang w:val="fr-CA"/>
        </w:rPr>
      </w:pPr>
    </w:p>
    <w:p w14:paraId="2A8EE745" w14:textId="0D0AC493" w:rsidR="00F57477" w:rsidRDefault="00F57477" w:rsidP="00A06582">
      <w:pPr>
        <w:jc w:val="right"/>
        <w:rPr>
          <w:lang w:val="fr-CA"/>
        </w:rPr>
      </w:pPr>
    </w:p>
    <w:p w14:paraId="27B9A21C" w14:textId="7123FA0A" w:rsidR="00F57477" w:rsidRDefault="002C0391" w:rsidP="00A06582">
      <w:pPr>
        <w:jc w:val="right"/>
        <w:rPr>
          <w:lang w:val="fr-CA"/>
        </w:rPr>
      </w:pPr>
      <w:r>
        <w:rPr>
          <w:noProof/>
          <w:lang w:val="en-US"/>
        </w:rPr>
        <mc:AlternateContent>
          <mc:Choice Requires="wps">
            <w:drawing>
              <wp:anchor distT="0" distB="0" distL="114300" distR="114300" simplePos="0" relativeHeight="251661312" behindDoc="0" locked="0" layoutInCell="1" allowOverlap="1" wp14:anchorId="22A82DCF" wp14:editId="795666AA">
                <wp:simplePos x="0" y="0"/>
                <wp:positionH relativeFrom="column">
                  <wp:posOffset>3694430</wp:posOffset>
                </wp:positionH>
                <wp:positionV relativeFrom="paragraph">
                  <wp:posOffset>119190</wp:posOffset>
                </wp:positionV>
                <wp:extent cx="3164205" cy="0"/>
                <wp:effectExtent l="0" t="12700" r="23495" b="12700"/>
                <wp:wrapNone/>
                <wp:docPr id="8"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64205" cy="0"/>
                        </a:xfrm>
                        <a:prstGeom prst="line">
                          <a:avLst/>
                        </a:prstGeom>
                        <a:ln w="19050">
                          <a:solidFill>
                            <a:srgbClr val="74AD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F368C3" id="Connecteur droit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9pt,9.4pt" to="540.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" strokecolor="#74adad" strokeweight="1.5pt">
                <v:stroke joinstyle="miter"/>
              </v:line>
            </w:pict>
          </mc:Fallback>
        </mc:AlternateContent>
      </w:r>
    </w:p>
    <w:p w14:paraId="3F871616" w14:textId="474B1D8E" w:rsidR="00A06582" w:rsidRPr="00A35669" w:rsidRDefault="00A06582" w:rsidP="00A06582">
      <w:pPr>
        <w:jc w:val="right"/>
        <w:rPr>
          <w:rFonts w:cstheme="minorHAnsi"/>
          <w:szCs w:val="26"/>
          <w:lang w:val="fr-CA"/>
        </w:rPr>
      </w:pPr>
      <w:r w:rsidRPr="00A35669">
        <w:rPr>
          <w:rFonts w:cstheme="minorHAnsi"/>
          <w:szCs w:val="26"/>
          <w:lang w:val="fr-CA"/>
        </w:rPr>
        <w:t>1</w:t>
      </w:r>
      <w:r w:rsidRPr="00A35669">
        <w:rPr>
          <w:rFonts w:cstheme="minorHAnsi"/>
          <w:szCs w:val="26"/>
          <w:vertAlign w:val="superscript"/>
          <w:lang w:val="fr-CA"/>
        </w:rPr>
        <w:t>er</w:t>
      </w:r>
      <w:r w:rsidRPr="00A35669">
        <w:rPr>
          <w:rFonts w:cstheme="minorHAnsi"/>
          <w:szCs w:val="26"/>
          <w:lang w:val="fr-CA"/>
        </w:rPr>
        <w:t xml:space="preserve"> décembre 2022</w:t>
      </w:r>
      <w:r w:rsidRPr="00A35669">
        <w:rPr>
          <w:rFonts w:cstheme="minorHAnsi"/>
          <w:szCs w:val="26"/>
          <w:lang w:val="fr-CA"/>
        </w:rPr>
        <w:br/>
        <w:t>Sénat du Canada</w:t>
      </w:r>
    </w:p>
    <w:p w14:paraId="3C671286" w14:textId="5727FBDA" w:rsidR="00A06582" w:rsidRPr="00A06582" w:rsidRDefault="00A06582" w:rsidP="00A06582">
      <w:pPr>
        <w:rPr>
          <w:rFonts w:cstheme="minorHAnsi"/>
          <w:lang w:val="fr-CA"/>
        </w:rPr>
        <w:sectPr w:rsidR="00A06582" w:rsidRPr="00A06582" w:rsidSect="00A06582">
          <w:pgSz w:w="12240" w:h="15840" w:code="1"/>
          <w:pgMar w:top="1440" w:right="1440" w:bottom="1440" w:left="1440" w:header="720" w:footer="720" w:gutter="0"/>
          <w:cols w:space="720"/>
          <w:docGrid w:linePitch="360"/>
        </w:sectPr>
      </w:pPr>
    </w:p>
    <w:sdt>
      <w:sdtPr>
        <w:rPr>
          <w:rFonts w:ascii="Arial Nova Light" w:eastAsiaTheme="minorHAnsi" w:hAnsi="Arial Nova Light" w:cstheme="minorBidi"/>
          <w:b/>
          <w:color w:val="auto"/>
          <w:sz w:val="24"/>
          <w:szCs w:val="24"/>
          <w:lang w:val="fr-CA"/>
        </w:rPr>
        <w:id w:val="-804468932"/>
        <w:docPartObj>
          <w:docPartGallery w:val="Table of Contents"/>
          <w:docPartUnique/>
        </w:docPartObj>
      </w:sdtPr>
      <w:sdtEndPr>
        <w:rPr>
          <w:rFonts w:asciiTheme="minorHAnsi" w:hAnsiTheme="minorHAnsi"/>
          <w:noProof/>
          <w:color w:val="6A0C22"/>
          <w:sz w:val="26"/>
        </w:rPr>
      </w:sdtEndPr>
      <w:sdtContent>
        <w:p w14:paraId="67C168EC" w14:textId="57FAEC23" w:rsidR="00624B8F" w:rsidRPr="00A73D7A" w:rsidRDefault="00624B8F" w:rsidP="00A74F12">
          <w:pPr>
            <w:pStyle w:val="TOCHeading"/>
            <w:spacing w:after="120"/>
          </w:pPr>
          <w:r w:rsidRPr="00A73D7A">
            <w:t xml:space="preserve">Table </w:t>
          </w:r>
          <w:r w:rsidR="00020975" w:rsidRPr="00A73D7A">
            <w:t>des matières</w:t>
          </w:r>
        </w:p>
        <w:p w14:paraId="697307EC" w14:textId="53275FEA" w:rsidR="00921C9A" w:rsidRDefault="00624B8F">
          <w:pPr>
            <w:pStyle w:val="TOC1"/>
            <w:rPr>
              <w:rFonts w:eastAsiaTheme="minorEastAsia"/>
              <w:b w:val="0"/>
              <w:noProof/>
              <w:color w:val="auto"/>
              <w:sz w:val="22"/>
              <w:szCs w:val="22"/>
              <w:lang w:val="en-US"/>
            </w:rPr>
          </w:pPr>
          <w:r w:rsidRPr="00020975">
            <w:rPr>
              <w:lang w:val="fr-CA"/>
            </w:rPr>
            <w:fldChar w:fldCharType="begin"/>
          </w:r>
          <w:r w:rsidRPr="00020975">
            <w:rPr>
              <w:lang w:val="fr-CA"/>
            </w:rPr>
            <w:instrText xml:space="preserve"> TOC \o "1-3" \h \z \u </w:instrText>
          </w:r>
          <w:r w:rsidRPr="00020975">
            <w:rPr>
              <w:lang w:val="fr-CA"/>
            </w:rPr>
            <w:fldChar w:fldCharType="separate"/>
          </w:r>
          <w:hyperlink w:anchor="_Toc117886737" w:history="1">
            <w:r w:rsidR="00921C9A" w:rsidRPr="00480D3B">
              <w:rPr>
                <w:rStyle w:val="Hyperlink"/>
                <w:noProof/>
                <w:lang w:val="fr-CA"/>
              </w:rPr>
              <w:t>1</w:t>
            </w:r>
            <w:r w:rsidR="00921C9A">
              <w:rPr>
                <w:rFonts w:eastAsiaTheme="minorEastAsia"/>
                <w:b w:val="0"/>
                <w:noProof/>
                <w:color w:val="auto"/>
                <w:sz w:val="22"/>
                <w:szCs w:val="22"/>
                <w:lang w:val="en-US"/>
              </w:rPr>
              <w:tab/>
            </w:r>
            <w:r w:rsidR="00921C9A" w:rsidRPr="00480D3B">
              <w:rPr>
                <w:rStyle w:val="Hyperlink"/>
                <w:noProof/>
                <w:lang w:val="fr-CA"/>
              </w:rPr>
              <w:t>Généralités</w:t>
            </w:r>
            <w:r w:rsidR="00921C9A">
              <w:rPr>
                <w:noProof/>
                <w:webHidden/>
              </w:rPr>
              <w:tab/>
            </w:r>
            <w:r w:rsidR="00921C9A">
              <w:rPr>
                <w:noProof/>
                <w:webHidden/>
              </w:rPr>
              <w:fldChar w:fldCharType="begin"/>
            </w:r>
            <w:r w:rsidR="00921C9A">
              <w:rPr>
                <w:noProof/>
                <w:webHidden/>
              </w:rPr>
              <w:instrText xml:space="preserve"> PAGEREF _Toc117886737 \h </w:instrText>
            </w:r>
            <w:r w:rsidR="00921C9A">
              <w:rPr>
                <w:noProof/>
                <w:webHidden/>
              </w:rPr>
            </w:r>
            <w:r w:rsidR="00921C9A">
              <w:rPr>
                <w:noProof/>
                <w:webHidden/>
              </w:rPr>
              <w:fldChar w:fldCharType="separate"/>
            </w:r>
            <w:r w:rsidR="00921C9A">
              <w:rPr>
                <w:noProof/>
                <w:webHidden/>
              </w:rPr>
              <w:t>4</w:t>
            </w:r>
            <w:r w:rsidR="00921C9A">
              <w:rPr>
                <w:noProof/>
                <w:webHidden/>
              </w:rPr>
              <w:fldChar w:fldCharType="end"/>
            </w:r>
          </w:hyperlink>
        </w:p>
        <w:p w14:paraId="7D03E6C3" w14:textId="336C1045" w:rsidR="00921C9A" w:rsidRDefault="00DF7755">
          <w:pPr>
            <w:pStyle w:val="TOC2"/>
            <w:tabs>
              <w:tab w:val="left" w:pos="880"/>
              <w:tab w:val="right" w:leader="dot" w:pos="9350"/>
            </w:tabs>
            <w:rPr>
              <w:rFonts w:eastAsiaTheme="minorEastAsia"/>
              <w:b w:val="0"/>
              <w:noProof/>
              <w:sz w:val="22"/>
              <w:szCs w:val="22"/>
              <w:lang w:val="en-US"/>
            </w:rPr>
          </w:pPr>
          <w:hyperlink w:anchor="_Toc117886738" w:history="1">
            <w:r w:rsidR="00921C9A" w:rsidRPr="00480D3B">
              <w:rPr>
                <w:rStyle w:val="Hyperlink"/>
                <w:noProof/>
                <w:lang w:val="fr-CA"/>
              </w:rPr>
              <w:t>1.1</w:t>
            </w:r>
            <w:r w:rsidR="00921C9A">
              <w:rPr>
                <w:rFonts w:eastAsiaTheme="minorEastAsia"/>
                <w:b w:val="0"/>
                <w:noProof/>
                <w:sz w:val="22"/>
                <w:szCs w:val="22"/>
                <w:lang w:val="en-US"/>
              </w:rPr>
              <w:tab/>
            </w:r>
            <w:r w:rsidR="00921C9A" w:rsidRPr="00480D3B">
              <w:rPr>
                <w:rStyle w:val="Hyperlink"/>
                <w:noProof/>
                <w:lang w:val="fr-CA"/>
              </w:rPr>
              <w:t>Déclaration d’engagement</w:t>
            </w:r>
            <w:r w:rsidR="00921C9A">
              <w:rPr>
                <w:noProof/>
                <w:webHidden/>
              </w:rPr>
              <w:tab/>
            </w:r>
            <w:r w:rsidR="00921C9A">
              <w:rPr>
                <w:noProof/>
                <w:webHidden/>
              </w:rPr>
              <w:fldChar w:fldCharType="begin"/>
            </w:r>
            <w:r w:rsidR="00921C9A">
              <w:rPr>
                <w:noProof/>
                <w:webHidden/>
              </w:rPr>
              <w:instrText xml:space="preserve"> PAGEREF _Toc117886738 \h </w:instrText>
            </w:r>
            <w:r w:rsidR="00921C9A">
              <w:rPr>
                <w:noProof/>
                <w:webHidden/>
              </w:rPr>
            </w:r>
            <w:r w:rsidR="00921C9A">
              <w:rPr>
                <w:noProof/>
                <w:webHidden/>
              </w:rPr>
              <w:fldChar w:fldCharType="separate"/>
            </w:r>
            <w:r w:rsidR="00921C9A">
              <w:rPr>
                <w:noProof/>
                <w:webHidden/>
              </w:rPr>
              <w:t>4</w:t>
            </w:r>
            <w:r w:rsidR="00921C9A">
              <w:rPr>
                <w:noProof/>
                <w:webHidden/>
              </w:rPr>
              <w:fldChar w:fldCharType="end"/>
            </w:r>
          </w:hyperlink>
        </w:p>
        <w:p w14:paraId="19B8B49D" w14:textId="1424C514" w:rsidR="00921C9A" w:rsidRDefault="00DF7755">
          <w:pPr>
            <w:pStyle w:val="TOC2"/>
            <w:tabs>
              <w:tab w:val="left" w:pos="880"/>
              <w:tab w:val="right" w:leader="dot" w:pos="9350"/>
            </w:tabs>
            <w:rPr>
              <w:rFonts w:eastAsiaTheme="minorEastAsia"/>
              <w:b w:val="0"/>
              <w:noProof/>
              <w:sz w:val="22"/>
              <w:szCs w:val="22"/>
              <w:lang w:val="en-US"/>
            </w:rPr>
          </w:pPr>
          <w:hyperlink w:anchor="_Toc117886739" w:history="1">
            <w:r w:rsidR="00921C9A" w:rsidRPr="00480D3B">
              <w:rPr>
                <w:rStyle w:val="Hyperlink"/>
                <w:noProof/>
                <w:lang w:val="fr-CA"/>
              </w:rPr>
              <w:t>1.2</w:t>
            </w:r>
            <w:r w:rsidR="00921C9A">
              <w:rPr>
                <w:rFonts w:eastAsiaTheme="minorEastAsia"/>
                <w:b w:val="0"/>
                <w:noProof/>
                <w:sz w:val="22"/>
                <w:szCs w:val="22"/>
                <w:lang w:val="en-US"/>
              </w:rPr>
              <w:tab/>
            </w:r>
            <w:r w:rsidR="00921C9A" w:rsidRPr="00480D3B">
              <w:rPr>
                <w:rStyle w:val="Hyperlink"/>
                <w:noProof/>
                <w:lang w:val="fr-CA"/>
              </w:rPr>
              <w:t>Coordonnées et processus de rétroaction</w:t>
            </w:r>
            <w:r w:rsidR="00921C9A">
              <w:rPr>
                <w:noProof/>
                <w:webHidden/>
              </w:rPr>
              <w:tab/>
            </w:r>
            <w:r w:rsidR="00921C9A">
              <w:rPr>
                <w:noProof/>
                <w:webHidden/>
              </w:rPr>
              <w:fldChar w:fldCharType="begin"/>
            </w:r>
            <w:r w:rsidR="00921C9A">
              <w:rPr>
                <w:noProof/>
                <w:webHidden/>
              </w:rPr>
              <w:instrText xml:space="preserve"> PAGEREF _Toc117886739 \h </w:instrText>
            </w:r>
            <w:r w:rsidR="00921C9A">
              <w:rPr>
                <w:noProof/>
                <w:webHidden/>
              </w:rPr>
            </w:r>
            <w:r w:rsidR="00921C9A">
              <w:rPr>
                <w:noProof/>
                <w:webHidden/>
              </w:rPr>
              <w:fldChar w:fldCharType="separate"/>
            </w:r>
            <w:r w:rsidR="00921C9A">
              <w:rPr>
                <w:noProof/>
                <w:webHidden/>
              </w:rPr>
              <w:t>4</w:t>
            </w:r>
            <w:r w:rsidR="00921C9A">
              <w:rPr>
                <w:noProof/>
                <w:webHidden/>
              </w:rPr>
              <w:fldChar w:fldCharType="end"/>
            </w:r>
          </w:hyperlink>
        </w:p>
        <w:p w14:paraId="5DF5A28E" w14:textId="07E5E6EE" w:rsidR="00921C9A" w:rsidRDefault="00DF7755">
          <w:pPr>
            <w:pStyle w:val="TOC2"/>
            <w:tabs>
              <w:tab w:val="left" w:pos="880"/>
              <w:tab w:val="right" w:leader="dot" w:pos="9350"/>
            </w:tabs>
            <w:rPr>
              <w:rFonts w:eastAsiaTheme="minorEastAsia"/>
              <w:b w:val="0"/>
              <w:noProof/>
              <w:sz w:val="22"/>
              <w:szCs w:val="22"/>
              <w:lang w:val="en-US"/>
            </w:rPr>
          </w:pPr>
          <w:hyperlink w:anchor="_Toc117886740" w:history="1">
            <w:r w:rsidR="00921C9A" w:rsidRPr="00480D3B">
              <w:rPr>
                <w:rStyle w:val="Hyperlink"/>
                <w:noProof/>
                <w:lang w:val="fr-CA"/>
              </w:rPr>
              <w:t>1.3</w:t>
            </w:r>
            <w:r w:rsidR="00921C9A">
              <w:rPr>
                <w:rFonts w:eastAsiaTheme="minorEastAsia"/>
                <w:b w:val="0"/>
                <w:noProof/>
                <w:sz w:val="22"/>
                <w:szCs w:val="22"/>
                <w:lang w:val="en-US"/>
              </w:rPr>
              <w:tab/>
            </w:r>
            <w:r w:rsidR="00921C9A" w:rsidRPr="00480D3B">
              <w:rPr>
                <w:rStyle w:val="Hyperlink"/>
                <w:noProof/>
                <w:lang w:val="fr-CA"/>
              </w:rPr>
              <w:t>Définitions</w:t>
            </w:r>
            <w:r w:rsidR="00921C9A">
              <w:rPr>
                <w:noProof/>
                <w:webHidden/>
              </w:rPr>
              <w:tab/>
            </w:r>
            <w:r w:rsidR="00921C9A">
              <w:rPr>
                <w:noProof/>
                <w:webHidden/>
              </w:rPr>
              <w:fldChar w:fldCharType="begin"/>
            </w:r>
            <w:r w:rsidR="00921C9A">
              <w:rPr>
                <w:noProof/>
                <w:webHidden/>
              </w:rPr>
              <w:instrText xml:space="preserve"> PAGEREF _Toc117886740 \h </w:instrText>
            </w:r>
            <w:r w:rsidR="00921C9A">
              <w:rPr>
                <w:noProof/>
                <w:webHidden/>
              </w:rPr>
            </w:r>
            <w:r w:rsidR="00921C9A">
              <w:rPr>
                <w:noProof/>
                <w:webHidden/>
              </w:rPr>
              <w:fldChar w:fldCharType="separate"/>
            </w:r>
            <w:r w:rsidR="00921C9A">
              <w:rPr>
                <w:noProof/>
                <w:webHidden/>
              </w:rPr>
              <w:t>5</w:t>
            </w:r>
            <w:r w:rsidR="00921C9A">
              <w:rPr>
                <w:noProof/>
                <w:webHidden/>
              </w:rPr>
              <w:fldChar w:fldCharType="end"/>
            </w:r>
          </w:hyperlink>
        </w:p>
        <w:p w14:paraId="336A1247" w14:textId="00C8FAC8" w:rsidR="00921C9A" w:rsidRDefault="00DF7755">
          <w:pPr>
            <w:pStyle w:val="TOC2"/>
            <w:tabs>
              <w:tab w:val="left" w:pos="880"/>
              <w:tab w:val="right" w:leader="dot" w:pos="9350"/>
            </w:tabs>
            <w:rPr>
              <w:rFonts w:eastAsiaTheme="minorEastAsia"/>
              <w:b w:val="0"/>
              <w:noProof/>
              <w:sz w:val="22"/>
              <w:szCs w:val="22"/>
              <w:lang w:val="en-US"/>
            </w:rPr>
          </w:pPr>
          <w:hyperlink w:anchor="_Toc117886741" w:history="1">
            <w:r w:rsidR="00921C9A" w:rsidRPr="00480D3B">
              <w:rPr>
                <w:rStyle w:val="Hyperlink"/>
                <w:noProof/>
                <w:lang w:val="fr-CA"/>
              </w:rPr>
              <w:t>1.4</w:t>
            </w:r>
            <w:r w:rsidR="00921C9A">
              <w:rPr>
                <w:rFonts w:eastAsiaTheme="minorEastAsia"/>
                <w:b w:val="0"/>
                <w:noProof/>
                <w:sz w:val="22"/>
                <w:szCs w:val="22"/>
                <w:lang w:val="en-US"/>
              </w:rPr>
              <w:tab/>
            </w:r>
            <w:r w:rsidR="00921C9A" w:rsidRPr="00480D3B">
              <w:rPr>
                <w:rStyle w:val="Hyperlink"/>
                <w:noProof/>
                <w:lang w:val="fr-CA"/>
              </w:rPr>
              <w:t>Description du Sénat du Canada</w:t>
            </w:r>
            <w:r w:rsidR="00921C9A">
              <w:rPr>
                <w:noProof/>
                <w:webHidden/>
              </w:rPr>
              <w:tab/>
            </w:r>
            <w:r w:rsidR="00921C9A">
              <w:rPr>
                <w:noProof/>
                <w:webHidden/>
              </w:rPr>
              <w:fldChar w:fldCharType="begin"/>
            </w:r>
            <w:r w:rsidR="00921C9A">
              <w:rPr>
                <w:noProof/>
                <w:webHidden/>
              </w:rPr>
              <w:instrText xml:space="preserve"> PAGEREF _Toc117886741 \h </w:instrText>
            </w:r>
            <w:r w:rsidR="00921C9A">
              <w:rPr>
                <w:noProof/>
                <w:webHidden/>
              </w:rPr>
            </w:r>
            <w:r w:rsidR="00921C9A">
              <w:rPr>
                <w:noProof/>
                <w:webHidden/>
              </w:rPr>
              <w:fldChar w:fldCharType="separate"/>
            </w:r>
            <w:r w:rsidR="00921C9A">
              <w:rPr>
                <w:noProof/>
                <w:webHidden/>
              </w:rPr>
              <w:t>6</w:t>
            </w:r>
            <w:r w:rsidR="00921C9A">
              <w:rPr>
                <w:noProof/>
                <w:webHidden/>
              </w:rPr>
              <w:fldChar w:fldCharType="end"/>
            </w:r>
          </w:hyperlink>
        </w:p>
        <w:p w14:paraId="074C0ED4" w14:textId="7A5BC9E5" w:rsidR="00921C9A" w:rsidRDefault="00DF7755">
          <w:pPr>
            <w:pStyle w:val="TOC1"/>
            <w:rPr>
              <w:rFonts w:eastAsiaTheme="minorEastAsia"/>
              <w:b w:val="0"/>
              <w:noProof/>
              <w:color w:val="auto"/>
              <w:sz w:val="22"/>
              <w:szCs w:val="22"/>
              <w:lang w:val="en-US"/>
            </w:rPr>
          </w:pPr>
          <w:hyperlink w:anchor="_Toc117886742" w:history="1">
            <w:r w:rsidR="00921C9A" w:rsidRPr="00480D3B">
              <w:rPr>
                <w:rStyle w:val="Hyperlink"/>
                <w:noProof/>
              </w:rPr>
              <w:t>2</w:t>
            </w:r>
            <w:r w:rsidR="00921C9A">
              <w:rPr>
                <w:rFonts w:eastAsiaTheme="minorEastAsia"/>
                <w:b w:val="0"/>
                <w:noProof/>
                <w:color w:val="auto"/>
                <w:sz w:val="22"/>
                <w:szCs w:val="22"/>
                <w:lang w:val="en-US"/>
              </w:rPr>
              <w:tab/>
            </w:r>
            <w:r w:rsidR="00921C9A" w:rsidRPr="00480D3B">
              <w:rPr>
                <w:rStyle w:val="Hyperlink"/>
                <w:noProof/>
              </w:rPr>
              <w:t>Consultations</w:t>
            </w:r>
            <w:r w:rsidR="00921C9A">
              <w:rPr>
                <w:noProof/>
                <w:webHidden/>
              </w:rPr>
              <w:tab/>
            </w:r>
            <w:r w:rsidR="00921C9A">
              <w:rPr>
                <w:noProof/>
                <w:webHidden/>
              </w:rPr>
              <w:fldChar w:fldCharType="begin"/>
            </w:r>
            <w:r w:rsidR="00921C9A">
              <w:rPr>
                <w:noProof/>
                <w:webHidden/>
              </w:rPr>
              <w:instrText xml:space="preserve"> PAGEREF _Toc117886742 \h </w:instrText>
            </w:r>
            <w:r w:rsidR="00921C9A">
              <w:rPr>
                <w:noProof/>
                <w:webHidden/>
              </w:rPr>
            </w:r>
            <w:r w:rsidR="00921C9A">
              <w:rPr>
                <w:noProof/>
                <w:webHidden/>
              </w:rPr>
              <w:fldChar w:fldCharType="separate"/>
            </w:r>
            <w:r w:rsidR="00921C9A">
              <w:rPr>
                <w:noProof/>
                <w:webHidden/>
              </w:rPr>
              <w:t>6</w:t>
            </w:r>
            <w:r w:rsidR="00921C9A">
              <w:rPr>
                <w:noProof/>
                <w:webHidden/>
              </w:rPr>
              <w:fldChar w:fldCharType="end"/>
            </w:r>
          </w:hyperlink>
        </w:p>
        <w:p w14:paraId="0BE1971D" w14:textId="47E2EFD0" w:rsidR="00921C9A" w:rsidRDefault="00DF7755">
          <w:pPr>
            <w:pStyle w:val="TOC2"/>
            <w:tabs>
              <w:tab w:val="left" w:pos="880"/>
              <w:tab w:val="right" w:leader="dot" w:pos="9350"/>
            </w:tabs>
            <w:rPr>
              <w:rFonts w:eastAsiaTheme="minorEastAsia"/>
              <w:b w:val="0"/>
              <w:noProof/>
              <w:sz w:val="22"/>
              <w:szCs w:val="22"/>
              <w:lang w:val="en-US"/>
            </w:rPr>
          </w:pPr>
          <w:hyperlink w:anchor="_Toc117886743" w:history="1">
            <w:r w:rsidR="00921C9A" w:rsidRPr="00480D3B">
              <w:rPr>
                <w:rStyle w:val="Hyperlink"/>
                <w:noProof/>
                <w:lang w:val="fr-CA"/>
              </w:rPr>
              <w:t>2.1</w:t>
            </w:r>
            <w:r w:rsidR="00921C9A">
              <w:rPr>
                <w:rFonts w:eastAsiaTheme="minorEastAsia"/>
                <w:b w:val="0"/>
                <w:noProof/>
                <w:sz w:val="22"/>
                <w:szCs w:val="22"/>
                <w:lang w:val="en-US"/>
              </w:rPr>
              <w:tab/>
            </w:r>
            <w:r w:rsidR="00921C9A" w:rsidRPr="00480D3B">
              <w:rPr>
                <w:rStyle w:val="Hyperlink"/>
                <w:noProof/>
                <w:lang w:val="fr-CA"/>
              </w:rPr>
              <w:t>Aperçu du processus de consultation</w:t>
            </w:r>
            <w:r w:rsidR="00921C9A">
              <w:rPr>
                <w:noProof/>
                <w:webHidden/>
              </w:rPr>
              <w:tab/>
            </w:r>
            <w:r w:rsidR="00921C9A">
              <w:rPr>
                <w:noProof/>
                <w:webHidden/>
              </w:rPr>
              <w:fldChar w:fldCharType="begin"/>
            </w:r>
            <w:r w:rsidR="00921C9A">
              <w:rPr>
                <w:noProof/>
                <w:webHidden/>
              </w:rPr>
              <w:instrText xml:space="preserve"> PAGEREF _Toc117886743 \h </w:instrText>
            </w:r>
            <w:r w:rsidR="00921C9A">
              <w:rPr>
                <w:noProof/>
                <w:webHidden/>
              </w:rPr>
            </w:r>
            <w:r w:rsidR="00921C9A">
              <w:rPr>
                <w:noProof/>
                <w:webHidden/>
              </w:rPr>
              <w:fldChar w:fldCharType="separate"/>
            </w:r>
            <w:r w:rsidR="00921C9A">
              <w:rPr>
                <w:noProof/>
                <w:webHidden/>
              </w:rPr>
              <w:t>6</w:t>
            </w:r>
            <w:r w:rsidR="00921C9A">
              <w:rPr>
                <w:noProof/>
                <w:webHidden/>
              </w:rPr>
              <w:fldChar w:fldCharType="end"/>
            </w:r>
          </w:hyperlink>
        </w:p>
        <w:p w14:paraId="686EDA92" w14:textId="26B9F1A6" w:rsidR="00921C9A" w:rsidRDefault="00DF7755">
          <w:pPr>
            <w:pStyle w:val="TOC2"/>
            <w:tabs>
              <w:tab w:val="left" w:pos="880"/>
              <w:tab w:val="right" w:leader="dot" w:pos="9350"/>
            </w:tabs>
            <w:rPr>
              <w:rFonts w:eastAsiaTheme="minorEastAsia"/>
              <w:b w:val="0"/>
              <w:noProof/>
              <w:sz w:val="22"/>
              <w:szCs w:val="22"/>
              <w:lang w:val="en-US"/>
            </w:rPr>
          </w:pPr>
          <w:hyperlink w:anchor="_Toc117886744" w:history="1">
            <w:r w:rsidR="00921C9A" w:rsidRPr="00480D3B">
              <w:rPr>
                <w:rStyle w:val="Hyperlink"/>
                <w:noProof/>
                <w:lang w:val="fr-CA"/>
              </w:rPr>
              <w:t>2.2</w:t>
            </w:r>
            <w:r w:rsidR="00921C9A">
              <w:rPr>
                <w:rFonts w:eastAsiaTheme="minorEastAsia"/>
                <w:b w:val="0"/>
                <w:noProof/>
                <w:sz w:val="22"/>
                <w:szCs w:val="22"/>
                <w:lang w:val="en-US"/>
              </w:rPr>
              <w:tab/>
            </w:r>
            <w:r w:rsidR="00921C9A" w:rsidRPr="00480D3B">
              <w:rPr>
                <w:rStyle w:val="Hyperlink"/>
                <w:noProof/>
                <w:lang w:val="fr-CA"/>
              </w:rPr>
              <w:t>Consultations auprès des sénateurs et des membres du personnel du Sénat en situation de handicap</w:t>
            </w:r>
            <w:r w:rsidR="00921C9A">
              <w:rPr>
                <w:noProof/>
                <w:webHidden/>
              </w:rPr>
              <w:tab/>
            </w:r>
            <w:r w:rsidR="00921C9A">
              <w:rPr>
                <w:noProof/>
                <w:webHidden/>
              </w:rPr>
              <w:fldChar w:fldCharType="begin"/>
            </w:r>
            <w:r w:rsidR="00921C9A">
              <w:rPr>
                <w:noProof/>
                <w:webHidden/>
              </w:rPr>
              <w:instrText xml:space="preserve"> PAGEREF _Toc117886744 \h </w:instrText>
            </w:r>
            <w:r w:rsidR="00921C9A">
              <w:rPr>
                <w:noProof/>
                <w:webHidden/>
              </w:rPr>
            </w:r>
            <w:r w:rsidR="00921C9A">
              <w:rPr>
                <w:noProof/>
                <w:webHidden/>
              </w:rPr>
              <w:fldChar w:fldCharType="separate"/>
            </w:r>
            <w:r w:rsidR="00921C9A">
              <w:rPr>
                <w:noProof/>
                <w:webHidden/>
              </w:rPr>
              <w:t>7</w:t>
            </w:r>
            <w:r w:rsidR="00921C9A">
              <w:rPr>
                <w:noProof/>
                <w:webHidden/>
              </w:rPr>
              <w:fldChar w:fldCharType="end"/>
            </w:r>
          </w:hyperlink>
        </w:p>
        <w:p w14:paraId="7FC4053A" w14:textId="32EC3A72" w:rsidR="00921C9A" w:rsidRDefault="00DF7755">
          <w:pPr>
            <w:pStyle w:val="TOC2"/>
            <w:tabs>
              <w:tab w:val="left" w:pos="880"/>
              <w:tab w:val="right" w:leader="dot" w:pos="9350"/>
            </w:tabs>
            <w:rPr>
              <w:rFonts w:eastAsiaTheme="minorEastAsia"/>
              <w:b w:val="0"/>
              <w:noProof/>
              <w:sz w:val="22"/>
              <w:szCs w:val="22"/>
              <w:lang w:val="en-US"/>
            </w:rPr>
          </w:pPr>
          <w:hyperlink w:anchor="_Toc117886745" w:history="1">
            <w:r w:rsidR="00921C9A" w:rsidRPr="00480D3B">
              <w:rPr>
                <w:rStyle w:val="Hyperlink"/>
                <w:noProof/>
                <w:lang w:val="fr-CA"/>
              </w:rPr>
              <w:t>2.3</w:t>
            </w:r>
            <w:r w:rsidR="00921C9A">
              <w:rPr>
                <w:rFonts w:eastAsiaTheme="minorEastAsia"/>
                <w:b w:val="0"/>
                <w:noProof/>
                <w:sz w:val="22"/>
                <w:szCs w:val="22"/>
                <w:lang w:val="en-US"/>
              </w:rPr>
              <w:tab/>
            </w:r>
            <w:r w:rsidR="00921C9A" w:rsidRPr="00480D3B">
              <w:rPr>
                <w:rStyle w:val="Hyperlink"/>
                <w:noProof/>
                <w:lang w:val="fr-CA"/>
              </w:rPr>
              <w:t>Consultations individuelles</w:t>
            </w:r>
            <w:r w:rsidR="00921C9A">
              <w:rPr>
                <w:noProof/>
                <w:webHidden/>
              </w:rPr>
              <w:tab/>
            </w:r>
            <w:r w:rsidR="00921C9A">
              <w:rPr>
                <w:noProof/>
                <w:webHidden/>
              </w:rPr>
              <w:fldChar w:fldCharType="begin"/>
            </w:r>
            <w:r w:rsidR="00921C9A">
              <w:rPr>
                <w:noProof/>
                <w:webHidden/>
              </w:rPr>
              <w:instrText xml:space="preserve"> PAGEREF _Toc117886745 \h </w:instrText>
            </w:r>
            <w:r w:rsidR="00921C9A">
              <w:rPr>
                <w:noProof/>
                <w:webHidden/>
              </w:rPr>
            </w:r>
            <w:r w:rsidR="00921C9A">
              <w:rPr>
                <w:noProof/>
                <w:webHidden/>
              </w:rPr>
              <w:fldChar w:fldCharType="separate"/>
            </w:r>
            <w:r w:rsidR="00921C9A">
              <w:rPr>
                <w:noProof/>
                <w:webHidden/>
              </w:rPr>
              <w:t>7</w:t>
            </w:r>
            <w:r w:rsidR="00921C9A">
              <w:rPr>
                <w:noProof/>
                <w:webHidden/>
              </w:rPr>
              <w:fldChar w:fldCharType="end"/>
            </w:r>
          </w:hyperlink>
        </w:p>
        <w:p w14:paraId="1E097B62" w14:textId="7E2FECEF" w:rsidR="00921C9A" w:rsidRDefault="00DF7755">
          <w:pPr>
            <w:pStyle w:val="TOC2"/>
            <w:tabs>
              <w:tab w:val="left" w:pos="880"/>
              <w:tab w:val="right" w:leader="dot" w:pos="9350"/>
            </w:tabs>
            <w:rPr>
              <w:rFonts w:eastAsiaTheme="minorEastAsia"/>
              <w:b w:val="0"/>
              <w:noProof/>
              <w:sz w:val="22"/>
              <w:szCs w:val="22"/>
              <w:lang w:val="en-US"/>
            </w:rPr>
          </w:pPr>
          <w:hyperlink w:anchor="_Toc117886746" w:history="1">
            <w:r w:rsidR="00921C9A" w:rsidRPr="00480D3B">
              <w:rPr>
                <w:rStyle w:val="Hyperlink"/>
                <w:noProof/>
                <w:lang w:val="fr-CA"/>
              </w:rPr>
              <w:t>2.4</w:t>
            </w:r>
            <w:r w:rsidR="00921C9A">
              <w:rPr>
                <w:rFonts w:eastAsiaTheme="minorEastAsia"/>
                <w:b w:val="0"/>
                <w:noProof/>
                <w:sz w:val="22"/>
                <w:szCs w:val="22"/>
                <w:lang w:val="en-US"/>
              </w:rPr>
              <w:tab/>
            </w:r>
            <w:r w:rsidR="00921C9A" w:rsidRPr="00480D3B">
              <w:rPr>
                <w:rStyle w:val="Hyperlink"/>
                <w:noProof/>
                <w:lang w:val="fr-CA"/>
              </w:rPr>
              <w:t>Consultations auprès des intervenants en situation de handicap</w:t>
            </w:r>
            <w:r w:rsidR="00921C9A">
              <w:rPr>
                <w:noProof/>
                <w:webHidden/>
              </w:rPr>
              <w:tab/>
            </w:r>
            <w:r w:rsidR="00921C9A">
              <w:rPr>
                <w:noProof/>
                <w:webHidden/>
              </w:rPr>
              <w:fldChar w:fldCharType="begin"/>
            </w:r>
            <w:r w:rsidR="00921C9A">
              <w:rPr>
                <w:noProof/>
                <w:webHidden/>
              </w:rPr>
              <w:instrText xml:space="preserve"> PAGEREF _Toc117886746 \h </w:instrText>
            </w:r>
            <w:r w:rsidR="00921C9A">
              <w:rPr>
                <w:noProof/>
                <w:webHidden/>
              </w:rPr>
            </w:r>
            <w:r w:rsidR="00921C9A">
              <w:rPr>
                <w:noProof/>
                <w:webHidden/>
              </w:rPr>
              <w:fldChar w:fldCharType="separate"/>
            </w:r>
            <w:r w:rsidR="00921C9A">
              <w:rPr>
                <w:noProof/>
                <w:webHidden/>
              </w:rPr>
              <w:t>8</w:t>
            </w:r>
            <w:r w:rsidR="00921C9A">
              <w:rPr>
                <w:noProof/>
                <w:webHidden/>
              </w:rPr>
              <w:fldChar w:fldCharType="end"/>
            </w:r>
          </w:hyperlink>
        </w:p>
        <w:p w14:paraId="6CCF1512" w14:textId="5F0E8833" w:rsidR="00921C9A" w:rsidRDefault="00DF7755">
          <w:pPr>
            <w:pStyle w:val="TOC1"/>
            <w:rPr>
              <w:rFonts w:eastAsiaTheme="minorEastAsia"/>
              <w:b w:val="0"/>
              <w:noProof/>
              <w:color w:val="auto"/>
              <w:sz w:val="22"/>
              <w:szCs w:val="22"/>
              <w:lang w:val="en-US"/>
            </w:rPr>
          </w:pPr>
          <w:hyperlink w:anchor="_Toc117886747" w:history="1">
            <w:r w:rsidR="00921C9A" w:rsidRPr="00480D3B">
              <w:rPr>
                <w:rStyle w:val="Hyperlink"/>
                <w:noProof/>
                <w:lang w:val="fr-CA"/>
              </w:rPr>
              <w:t>3</w:t>
            </w:r>
            <w:r w:rsidR="00921C9A">
              <w:rPr>
                <w:rFonts w:eastAsiaTheme="minorEastAsia"/>
                <w:b w:val="0"/>
                <w:noProof/>
                <w:color w:val="auto"/>
                <w:sz w:val="22"/>
                <w:szCs w:val="22"/>
                <w:lang w:val="en-US"/>
              </w:rPr>
              <w:tab/>
            </w:r>
            <w:r w:rsidR="00921C9A" w:rsidRPr="00480D3B">
              <w:rPr>
                <w:rStyle w:val="Hyperlink"/>
                <w:noProof/>
                <w:lang w:val="fr-CA"/>
              </w:rPr>
              <w:t xml:space="preserve">Domaines décrits à l’article 5 de la </w:t>
            </w:r>
            <w:r w:rsidR="00921C9A" w:rsidRPr="00480D3B">
              <w:rPr>
                <w:rStyle w:val="Hyperlink"/>
                <w:i/>
                <w:iCs/>
                <w:noProof/>
                <w:lang w:val="fr-CA"/>
              </w:rPr>
              <w:t>Loi canadienne sur l’accessibilité</w:t>
            </w:r>
            <w:r w:rsidR="00921C9A">
              <w:rPr>
                <w:noProof/>
                <w:webHidden/>
              </w:rPr>
              <w:tab/>
            </w:r>
            <w:r w:rsidR="00921C9A">
              <w:rPr>
                <w:noProof/>
                <w:webHidden/>
              </w:rPr>
              <w:fldChar w:fldCharType="begin"/>
            </w:r>
            <w:r w:rsidR="00921C9A">
              <w:rPr>
                <w:noProof/>
                <w:webHidden/>
              </w:rPr>
              <w:instrText xml:space="preserve"> PAGEREF _Toc117886747 \h </w:instrText>
            </w:r>
            <w:r w:rsidR="00921C9A">
              <w:rPr>
                <w:noProof/>
                <w:webHidden/>
              </w:rPr>
            </w:r>
            <w:r w:rsidR="00921C9A">
              <w:rPr>
                <w:noProof/>
                <w:webHidden/>
              </w:rPr>
              <w:fldChar w:fldCharType="separate"/>
            </w:r>
            <w:r w:rsidR="00921C9A">
              <w:rPr>
                <w:noProof/>
                <w:webHidden/>
              </w:rPr>
              <w:t>9</w:t>
            </w:r>
            <w:r w:rsidR="00921C9A">
              <w:rPr>
                <w:noProof/>
                <w:webHidden/>
              </w:rPr>
              <w:fldChar w:fldCharType="end"/>
            </w:r>
          </w:hyperlink>
        </w:p>
        <w:p w14:paraId="5F6855C3" w14:textId="79B0EB24" w:rsidR="00921C9A" w:rsidRDefault="00DF7755">
          <w:pPr>
            <w:pStyle w:val="TOC2"/>
            <w:tabs>
              <w:tab w:val="left" w:pos="880"/>
              <w:tab w:val="right" w:leader="dot" w:pos="9350"/>
            </w:tabs>
            <w:rPr>
              <w:rFonts w:eastAsiaTheme="minorEastAsia"/>
              <w:b w:val="0"/>
              <w:noProof/>
              <w:sz w:val="22"/>
              <w:szCs w:val="22"/>
              <w:lang w:val="en-US"/>
            </w:rPr>
          </w:pPr>
          <w:hyperlink w:anchor="_Toc117886748" w:history="1">
            <w:r w:rsidR="00921C9A" w:rsidRPr="00480D3B">
              <w:rPr>
                <w:rStyle w:val="Hyperlink"/>
                <w:noProof/>
                <w:lang w:val="fr-CA"/>
              </w:rPr>
              <w:t>3.1</w:t>
            </w:r>
            <w:r w:rsidR="00921C9A">
              <w:rPr>
                <w:rFonts w:eastAsiaTheme="minorEastAsia"/>
                <w:b w:val="0"/>
                <w:noProof/>
                <w:sz w:val="22"/>
                <w:szCs w:val="22"/>
                <w:lang w:val="en-US"/>
              </w:rPr>
              <w:tab/>
            </w:r>
            <w:r w:rsidR="00921C9A" w:rsidRPr="00480D3B">
              <w:rPr>
                <w:rStyle w:val="Hyperlink"/>
                <w:noProof/>
                <w:lang w:val="fr-CA"/>
              </w:rPr>
              <w:t>Environnement bâti</w:t>
            </w:r>
            <w:r w:rsidR="00921C9A">
              <w:rPr>
                <w:noProof/>
                <w:webHidden/>
              </w:rPr>
              <w:tab/>
            </w:r>
            <w:r w:rsidR="00921C9A">
              <w:rPr>
                <w:noProof/>
                <w:webHidden/>
              </w:rPr>
              <w:fldChar w:fldCharType="begin"/>
            </w:r>
            <w:r w:rsidR="00921C9A">
              <w:rPr>
                <w:noProof/>
                <w:webHidden/>
              </w:rPr>
              <w:instrText xml:space="preserve"> PAGEREF _Toc117886748 \h </w:instrText>
            </w:r>
            <w:r w:rsidR="00921C9A">
              <w:rPr>
                <w:noProof/>
                <w:webHidden/>
              </w:rPr>
            </w:r>
            <w:r w:rsidR="00921C9A">
              <w:rPr>
                <w:noProof/>
                <w:webHidden/>
              </w:rPr>
              <w:fldChar w:fldCharType="separate"/>
            </w:r>
            <w:r w:rsidR="00921C9A">
              <w:rPr>
                <w:noProof/>
                <w:webHidden/>
              </w:rPr>
              <w:t>9</w:t>
            </w:r>
            <w:r w:rsidR="00921C9A">
              <w:rPr>
                <w:noProof/>
                <w:webHidden/>
              </w:rPr>
              <w:fldChar w:fldCharType="end"/>
            </w:r>
          </w:hyperlink>
        </w:p>
        <w:p w14:paraId="40AF0E5B" w14:textId="04CCC7AC" w:rsidR="00921C9A" w:rsidRDefault="00DF7755">
          <w:pPr>
            <w:pStyle w:val="TOC3"/>
            <w:rPr>
              <w:rFonts w:eastAsiaTheme="minorEastAsia"/>
              <w:noProof/>
              <w:sz w:val="22"/>
              <w:szCs w:val="22"/>
              <w:lang w:val="en-US"/>
            </w:rPr>
          </w:pPr>
          <w:hyperlink w:anchor="_Toc117886749" w:history="1">
            <w:r w:rsidR="00921C9A" w:rsidRPr="00480D3B">
              <w:rPr>
                <w:rStyle w:val="Hyperlink"/>
                <w:noProof/>
              </w:rPr>
              <w:t>Aperçu</w:t>
            </w:r>
            <w:r w:rsidR="00921C9A">
              <w:rPr>
                <w:noProof/>
                <w:webHidden/>
              </w:rPr>
              <w:tab/>
            </w:r>
            <w:r w:rsidR="00921C9A">
              <w:rPr>
                <w:noProof/>
                <w:webHidden/>
              </w:rPr>
              <w:fldChar w:fldCharType="begin"/>
            </w:r>
            <w:r w:rsidR="00921C9A">
              <w:rPr>
                <w:noProof/>
                <w:webHidden/>
              </w:rPr>
              <w:instrText xml:space="preserve"> PAGEREF _Toc117886749 \h </w:instrText>
            </w:r>
            <w:r w:rsidR="00921C9A">
              <w:rPr>
                <w:noProof/>
                <w:webHidden/>
              </w:rPr>
            </w:r>
            <w:r w:rsidR="00921C9A">
              <w:rPr>
                <w:noProof/>
                <w:webHidden/>
              </w:rPr>
              <w:fldChar w:fldCharType="separate"/>
            </w:r>
            <w:r w:rsidR="00921C9A">
              <w:rPr>
                <w:noProof/>
                <w:webHidden/>
              </w:rPr>
              <w:t>9</w:t>
            </w:r>
            <w:r w:rsidR="00921C9A">
              <w:rPr>
                <w:noProof/>
                <w:webHidden/>
              </w:rPr>
              <w:fldChar w:fldCharType="end"/>
            </w:r>
          </w:hyperlink>
        </w:p>
        <w:p w14:paraId="16C67DD8" w14:textId="32FA8FAD" w:rsidR="00921C9A" w:rsidRDefault="00DF7755">
          <w:pPr>
            <w:pStyle w:val="TOC3"/>
            <w:rPr>
              <w:rFonts w:eastAsiaTheme="minorEastAsia"/>
              <w:noProof/>
              <w:sz w:val="22"/>
              <w:szCs w:val="22"/>
              <w:lang w:val="en-US"/>
            </w:rPr>
          </w:pPr>
          <w:hyperlink w:anchor="_Toc117886750" w:history="1">
            <w:r w:rsidR="00921C9A" w:rsidRPr="00480D3B">
              <w:rPr>
                <w:rStyle w:val="Hyperlink"/>
                <w:noProof/>
              </w:rPr>
              <w:t>État actuel de l’accessibilité</w:t>
            </w:r>
            <w:r w:rsidR="00921C9A">
              <w:rPr>
                <w:noProof/>
                <w:webHidden/>
              </w:rPr>
              <w:tab/>
            </w:r>
            <w:r w:rsidR="00921C9A">
              <w:rPr>
                <w:noProof/>
                <w:webHidden/>
              </w:rPr>
              <w:fldChar w:fldCharType="begin"/>
            </w:r>
            <w:r w:rsidR="00921C9A">
              <w:rPr>
                <w:noProof/>
                <w:webHidden/>
              </w:rPr>
              <w:instrText xml:space="preserve"> PAGEREF _Toc117886750 \h </w:instrText>
            </w:r>
            <w:r w:rsidR="00921C9A">
              <w:rPr>
                <w:noProof/>
                <w:webHidden/>
              </w:rPr>
            </w:r>
            <w:r w:rsidR="00921C9A">
              <w:rPr>
                <w:noProof/>
                <w:webHidden/>
              </w:rPr>
              <w:fldChar w:fldCharType="separate"/>
            </w:r>
            <w:r w:rsidR="00921C9A">
              <w:rPr>
                <w:noProof/>
                <w:webHidden/>
              </w:rPr>
              <w:t>10</w:t>
            </w:r>
            <w:r w:rsidR="00921C9A">
              <w:rPr>
                <w:noProof/>
                <w:webHidden/>
              </w:rPr>
              <w:fldChar w:fldCharType="end"/>
            </w:r>
          </w:hyperlink>
        </w:p>
        <w:p w14:paraId="57D69791" w14:textId="336B54B0" w:rsidR="00921C9A" w:rsidRDefault="00DF7755">
          <w:pPr>
            <w:pStyle w:val="TOC3"/>
            <w:rPr>
              <w:rFonts w:eastAsiaTheme="minorEastAsia"/>
              <w:noProof/>
              <w:sz w:val="22"/>
              <w:szCs w:val="22"/>
              <w:lang w:val="en-US"/>
            </w:rPr>
          </w:pPr>
          <w:hyperlink w:anchor="_Toc117886751" w:history="1">
            <w:r w:rsidR="00921C9A" w:rsidRPr="00480D3B">
              <w:rPr>
                <w:rStyle w:val="Hyperlink"/>
                <w:noProof/>
                <w:lang w:val="fr-CA"/>
              </w:rPr>
              <w:t>Objectifs en matière d’accessibilité</w:t>
            </w:r>
            <w:r w:rsidR="00921C9A">
              <w:rPr>
                <w:noProof/>
                <w:webHidden/>
              </w:rPr>
              <w:tab/>
            </w:r>
            <w:r w:rsidR="00921C9A">
              <w:rPr>
                <w:noProof/>
                <w:webHidden/>
              </w:rPr>
              <w:fldChar w:fldCharType="begin"/>
            </w:r>
            <w:r w:rsidR="00921C9A">
              <w:rPr>
                <w:noProof/>
                <w:webHidden/>
              </w:rPr>
              <w:instrText xml:space="preserve"> PAGEREF _Toc117886751 \h </w:instrText>
            </w:r>
            <w:r w:rsidR="00921C9A">
              <w:rPr>
                <w:noProof/>
                <w:webHidden/>
              </w:rPr>
            </w:r>
            <w:r w:rsidR="00921C9A">
              <w:rPr>
                <w:noProof/>
                <w:webHidden/>
              </w:rPr>
              <w:fldChar w:fldCharType="separate"/>
            </w:r>
            <w:r w:rsidR="00921C9A">
              <w:rPr>
                <w:noProof/>
                <w:webHidden/>
              </w:rPr>
              <w:t>10</w:t>
            </w:r>
            <w:r w:rsidR="00921C9A">
              <w:rPr>
                <w:noProof/>
                <w:webHidden/>
              </w:rPr>
              <w:fldChar w:fldCharType="end"/>
            </w:r>
          </w:hyperlink>
        </w:p>
        <w:p w14:paraId="5E81762F" w14:textId="5483E0FD" w:rsidR="00921C9A" w:rsidRDefault="00DF7755">
          <w:pPr>
            <w:pStyle w:val="TOC2"/>
            <w:tabs>
              <w:tab w:val="left" w:pos="880"/>
              <w:tab w:val="right" w:leader="dot" w:pos="9350"/>
            </w:tabs>
            <w:rPr>
              <w:rFonts w:eastAsiaTheme="minorEastAsia"/>
              <w:b w:val="0"/>
              <w:noProof/>
              <w:sz w:val="22"/>
              <w:szCs w:val="22"/>
              <w:lang w:val="en-US"/>
            </w:rPr>
          </w:pPr>
          <w:hyperlink w:anchor="_Toc117886752" w:history="1">
            <w:r w:rsidR="00921C9A" w:rsidRPr="00480D3B">
              <w:rPr>
                <w:rStyle w:val="Hyperlink"/>
                <w:noProof/>
                <w:lang w:val="fr-CA"/>
              </w:rPr>
              <w:t>3.2</w:t>
            </w:r>
            <w:r w:rsidR="00921C9A">
              <w:rPr>
                <w:rFonts w:eastAsiaTheme="minorEastAsia"/>
                <w:b w:val="0"/>
                <w:noProof/>
                <w:sz w:val="22"/>
                <w:szCs w:val="22"/>
                <w:lang w:val="en-US"/>
              </w:rPr>
              <w:tab/>
            </w:r>
            <w:r w:rsidR="00921C9A" w:rsidRPr="00480D3B">
              <w:rPr>
                <w:rStyle w:val="Hyperlink"/>
                <w:noProof/>
                <w:lang w:val="fr-CA"/>
              </w:rPr>
              <w:t>Emploi</w:t>
            </w:r>
            <w:r w:rsidR="00921C9A">
              <w:rPr>
                <w:noProof/>
                <w:webHidden/>
              </w:rPr>
              <w:tab/>
            </w:r>
            <w:r w:rsidR="00921C9A">
              <w:rPr>
                <w:noProof/>
                <w:webHidden/>
              </w:rPr>
              <w:fldChar w:fldCharType="begin"/>
            </w:r>
            <w:r w:rsidR="00921C9A">
              <w:rPr>
                <w:noProof/>
                <w:webHidden/>
              </w:rPr>
              <w:instrText xml:space="preserve"> PAGEREF _Toc117886752 \h </w:instrText>
            </w:r>
            <w:r w:rsidR="00921C9A">
              <w:rPr>
                <w:noProof/>
                <w:webHidden/>
              </w:rPr>
            </w:r>
            <w:r w:rsidR="00921C9A">
              <w:rPr>
                <w:noProof/>
                <w:webHidden/>
              </w:rPr>
              <w:fldChar w:fldCharType="separate"/>
            </w:r>
            <w:r w:rsidR="00921C9A">
              <w:rPr>
                <w:noProof/>
                <w:webHidden/>
              </w:rPr>
              <w:t>12</w:t>
            </w:r>
            <w:r w:rsidR="00921C9A">
              <w:rPr>
                <w:noProof/>
                <w:webHidden/>
              </w:rPr>
              <w:fldChar w:fldCharType="end"/>
            </w:r>
          </w:hyperlink>
        </w:p>
        <w:p w14:paraId="279FC11E" w14:textId="4EADB338" w:rsidR="00921C9A" w:rsidRDefault="00DF7755">
          <w:pPr>
            <w:pStyle w:val="TOC3"/>
            <w:rPr>
              <w:rFonts w:eastAsiaTheme="minorEastAsia"/>
              <w:noProof/>
              <w:sz w:val="22"/>
              <w:szCs w:val="22"/>
              <w:lang w:val="en-US"/>
            </w:rPr>
          </w:pPr>
          <w:hyperlink w:anchor="_Toc117886753" w:history="1">
            <w:r w:rsidR="00921C9A" w:rsidRPr="00480D3B">
              <w:rPr>
                <w:rStyle w:val="Hyperlink"/>
                <w:noProof/>
                <w:lang w:val="fr-CA"/>
              </w:rPr>
              <w:t>Aperçu</w:t>
            </w:r>
            <w:r w:rsidR="00921C9A">
              <w:rPr>
                <w:noProof/>
                <w:webHidden/>
              </w:rPr>
              <w:tab/>
            </w:r>
            <w:r w:rsidR="00921C9A">
              <w:rPr>
                <w:noProof/>
                <w:webHidden/>
              </w:rPr>
              <w:fldChar w:fldCharType="begin"/>
            </w:r>
            <w:r w:rsidR="00921C9A">
              <w:rPr>
                <w:noProof/>
                <w:webHidden/>
              </w:rPr>
              <w:instrText xml:space="preserve"> PAGEREF _Toc117886753 \h </w:instrText>
            </w:r>
            <w:r w:rsidR="00921C9A">
              <w:rPr>
                <w:noProof/>
                <w:webHidden/>
              </w:rPr>
            </w:r>
            <w:r w:rsidR="00921C9A">
              <w:rPr>
                <w:noProof/>
                <w:webHidden/>
              </w:rPr>
              <w:fldChar w:fldCharType="separate"/>
            </w:r>
            <w:r w:rsidR="00921C9A">
              <w:rPr>
                <w:noProof/>
                <w:webHidden/>
              </w:rPr>
              <w:t>12</w:t>
            </w:r>
            <w:r w:rsidR="00921C9A">
              <w:rPr>
                <w:noProof/>
                <w:webHidden/>
              </w:rPr>
              <w:fldChar w:fldCharType="end"/>
            </w:r>
          </w:hyperlink>
        </w:p>
        <w:p w14:paraId="36C05FC9" w14:textId="4E95B044" w:rsidR="00921C9A" w:rsidRDefault="00DF7755">
          <w:pPr>
            <w:pStyle w:val="TOC3"/>
            <w:rPr>
              <w:rFonts w:eastAsiaTheme="minorEastAsia"/>
              <w:noProof/>
              <w:sz w:val="22"/>
              <w:szCs w:val="22"/>
              <w:lang w:val="en-US"/>
            </w:rPr>
          </w:pPr>
          <w:hyperlink w:anchor="_Toc117886754" w:history="1">
            <w:r w:rsidR="00921C9A" w:rsidRPr="00480D3B">
              <w:rPr>
                <w:rStyle w:val="Hyperlink"/>
                <w:noProof/>
                <w:lang w:val="fr-CA"/>
              </w:rPr>
              <w:t>État actuel de l’accessibilité</w:t>
            </w:r>
            <w:r w:rsidR="00921C9A">
              <w:rPr>
                <w:noProof/>
                <w:webHidden/>
              </w:rPr>
              <w:tab/>
            </w:r>
            <w:r w:rsidR="00921C9A">
              <w:rPr>
                <w:noProof/>
                <w:webHidden/>
              </w:rPr>
              <w:fldChar w:fldCharType="begin"/>
            </w:r>
            <w:r w:rsidR="00921C9A">
              <w:rPr>
                <w:noProof/>
                <w:webHidden/>
              </w:rPr>
              <w:instrText xml:space="preserve"> PAGEREF _Toc117886754 \h </w:instrText>
            </w:r>
            <w:r w:rsidR="00921C9A">
              <w:rPr>
                <w:noProof/>
                <w:webHidden/>
              </w:rPr>
            </w:r>
            <w:r w:rsidR="00921C9A">
              <w:rPr>
                <w:noProof/>
                <w:webHidden/>
              </w:rPr>
              <w:fldChar w:fldCharType="separate"/>
            </w:r>
            <w:r w:rsidR="00921C9A">
              <w:rPr>
                <w:noProof/>
                <w:webHidden/>
              </w:rPr>
              <w:t>12</w:t>
            </w:r>
            <w:r w:rsidR="00921C9A">
              <w:rPr>
                <w:noProof/>
                <w:webHidden/>
              </w:rPr>
              <w:fldChar w:fldCharType="end"/>
            </w:r>
          </w:hyperlink>
        </w:p>
        <w:p w14:paraId="0D276B3A" w14:textId="12FD29A2" w:rsidR="00921C9A" w:rsidRDefault="00DF7755">
          <w:pPr>
            <w:pStyle w:val="TOC3"/>
            <w:rPr>
              <w:rFonts w:eastAsiaTheme="minorEastAsia"/>
              <w:noProof/>
              <w:sz w:val="22"/>
              <w:szCs w:val="22"/>
              <w:lang w:val="en-US"/>
            </w:rPr>
          </w:pPr>
          <w:hyperlink w:anchor="_Toc117886755" w:history="1">
            <w:r w:rsidR="00921C9A" w:rsidRPr="00480D3B">
              <w:rPr>
                <w:rStyle w:val="Hyperlink"/>
                <w:noProof/>
                <w:lang w:val="fr-CA"/>
              </w:rPr>
              <w:t>Objectifs en matière d’accessibilité</w:t>
            </w:r>
            <w:r w:rsidR="00921C9A">
              <w:rPr>
                <w:noProof/>
                <w:webHidden/>
              </w:rPr>
              <w:tab/>
            </w:r>
            <w:r w:rsidR="00921C9A">
              <w:rPr>
                <w:noProof/>
                <w:webHidden/>
              </w:rPr>
              <w:fldChar w:fldCharType="begin"/>
            </w:r>
            <w:r w:rsidR="00921C9A">
              <w:rPr>
                <w:noProof/>
                <w:webHidden/>
              </w:rPr>
              <w:instrText xml:space="preserve"> PAGEREF _Toc117886755 \h </w:instrText>
            </w:r>
            <w:r w:rsidR="00921C9A">
              <w:rPr>
                <w:noProof/>
                <w:webHidden/>
              </w:rPr>
            </w:r>
            <w:r w:rsidR="00921C9A">
              <w:rPr>
                <w:noProof/>
                <w:webHidden/>
              </w:rPr>
              <w:fldChar w:fldCharType="separate"/>
            </w:r>
            <w:r w:rsidR="00921C9A">
              <w:rPr>
                <w:noProof/>
                <w:webHidden/>
              </w:rPr>
              <w:t>12</w:t>
            </w:r>
            <w:r w:rsidR="00921C9A">
              <w:rPr>
                <w:noProof/>
                <w:webHidden/>
              </w:rPr>
              <w:fldChar w:fldCharType="end"/>
            </w:r>
          </w:hyperlink>
        </w:p>
        <w:p w14:paraId="3C49554E" w14:textId="5E4FAD78" w:rsidR="00921C9A" w:rsidRDefault="00DF7755">
          <w:pPr>
            <w:pStyle w:val="TOC2"/>
            <w:tabs>
              <w:tab w:val="left" w:pos="880"/>
              <w:tab w:val="right" w:leader="dot" w:pos="9350"/>
            </w:tabs>
            <w:rPr>
              <w:rFonts w:eastAsiaTheme="minorEastAsia"/>
              <w:b w:val="0"/>
              <w:noProof/>
              <w:sz w:val="22"/>
              <w:szCs w:val="22"/>
              <w:lang w:val="en-US"/>
            </w:rPr>
          </w:pPr>
          <w:hyperlink w:anchor="_Toc117886756" w:history="1">
            <w:r w:rsidR="00921C9A" w:rsidRPr="00480D3B">
              <w:rPr>
                <w:rStyle w:val="Hyperlink"/>
                <w:noProof/>
                <w:lang w:val="fr-CA"/>
              </w:rPr>
              <w:t>3.3</w:t>
            </w:r>
            <w:r w:rsidR="00921C9A">
              <w:rPr>
                <w:rFonts w:eastAsiaTheme="minorEastAsia"/>
                <w:b w:val="0"/>
                <w:noProof/>
                <w:sz w:val="22"/>
                <w:szCs w:val="22"/>
                <w:lang w:val="en-US"/>
              </w:rPr>
              <w:tab/>
            </w:r>
            <w:r w:rsidR="00921C9A" w:rsidRPr="00480D3B">
              <w:rPr>
                <w:rStyle w:val="Hyperlink"/>
                <w:noProof/>
                <w:lang w:val="fr-CA"/>
              </w:rPr>
              <w:t>Technologies de l’information et des communications (TIC)</w:t>
            </w:r>
            <w:r w:rsidR="00921C9A">
              <w:rPr>
                <w:noProof/>
                <w:webHidden/>
              </w:rPr>
              <w:tab/>
            </w:r>
            <w:r w:rsidR="00921C9A">
              <w:rPr>
                <w:noProof/>
                <w:webHidden/>
              </w:rPr>
              <w:fldChar w:fldCharType="begin"/>
            </w:r>
            <w:r w:rsidR="00921C9A">
              <w:rPr>
                <w:noProof/>
                <w:webHidden/>
              </w:rPr>
              <w:instrText xml:space="preserve"> PAGEREF _Toc117886756 \h </w:instrText>
            </w:r>
            <w:r w:rsidR="00921C9A">
              <w:rPr>
                <w:noProof/>
                <w:webHidden/>
              </w:rPr>
            </w:r>
            <w:r w:rsidR="00921C9A">
              <w:rPr>
                <w:noProof/>
                <w:webHidden/>
              </w:rPr>
              <w:fldChar w:fldCharType="separate"/>
            </w:r>
            <w:r w:rsidR="00921C9A">
              <w:rPr>
                <w:noProof/>
                <w:webHidden/>
              </w:rPr>
              <w:t>13</w:t>
            </w:r>
            <w:r w:rsidR="00921C9A">
              <w:rPr>
                <w:noProof/>
                <w:webHidden/>
              </w:rPr>
              <w:fldChar w:fldCharType="end"/>
            </w:r>
          </w:hyperlink>
        </w:p>
        <w:p w14:paraId="645A64E1" w14:textId="66B2482A" w:rsidR="00921C9A" w:rsidRDefault="00DF7755">
          <w:pPr>
            <w:pStyle w:val="TOC3"/>
            <w:rPr>
              <w:rFonts w:eastAsiaTheme="minorEastAsia"/>
              <w:noProof/>
              <w:sz w:val="22"/>
              <w:szCs w:val="22"/>
              <w:lang w:val="en-US"/>
            </w:rPr>
          </w:pPr>
          <w:hyperlink w:anchor="_Toc117886757" w:history="1">
            <w:r w:rsidR="00921C9A" w:rsidRPr="00480D3B">
              <w:rPr>
                <w:rStyle w:val="Hyperlink"/>
                <w:noProof/>
                <w:lang w:val="fr-CA"/>
              </w:rPr>
              <w:t>Aperçu</w:t>
            </w:r>
            <w:r w:rsidR="00921C9A">
              <w:rPr>
                <w:noProof/>
                <w:webHidden/>
              </w:rPr>
              <w:tab/>
            </w:r>
            <w:r w:rsidR="00921C9A">
              <w:rPr>
                <w:noProof/>
                <w:webHidden/>
              </w:rPr>
              <w:fldChar w:fldCharType="begin"/>
            </w:r>
            <w:r w:rsidR="00921C9A">
              <w:rPr>
                <w:noProof/>
                <w:webHidden/>
              </w:rPr>
              <w:instrText xml:space="preserve"> PAGEREF _Toc117886757 \h </w:instrText>
            </w:r>
            <w:r w:rsidR="00921C9A">
              <w:rPr>
                <w:noProof/>
                <w:webHidden/>
              </w:rPr>
            </w:r>
            <w:r w:rsidR="00921C9A">
              <w:rPr>
                <w:noProof/>
                <w:webHidden/>
              </w:rPr>
              <w:fldChar w:fldCharType="separate"/>
            </w:r>
            <w:r w:rsidR="00921C9A">
              <w:rPr>
                <w:noProof/>
                <w:webHidden/>
              </w:rPr>
              <w:t>13</w:t>
            </w:r>
            <w:r w:rsidR="00921C9A">
              <w:rPr>
                <w:noProof/>
                <w:webHidden/>
              </w:rPr>
              <w:fldChar w:fldCharType="end"/>
            </w:r>
          </w:hyperlink>
        </w:p>
        <w:p w14:paraId="7ADCF9E1" w14:textId="6144CEF6" w:rsidR="00921C9A" w:rsidRDefault="00DF7755">
          <w:pPr>
            <w:pStyle w:val="TOC3"/>
            <w:rPr>
              <w:rFonts w:eastAsiaTheme="minorEastAsia"/>
              <w:noProof/>
              <w:sz w:val="22"/>
              <w:szCs w:val="22"/>
              <w:lang w:val="en-US"/>
            </w:rPr>
          </w:pPr>
          <w:hyperlink w:anchor="_Toc117886758" w:history="1">
            <w:r w:rsidR="00921C9A" w:rsidRPr="00480D3B">
              <w:rPr>
                <w:rStyle w:val="Hyperlink"/>
                <w:noProof/>
                <w:lang w:val="fr-CA"/>
              </w:rPr>
              <w:t>État actuel de l’accessibilité</w:t>
            </w:r>
            <w:r w:rsidR="00921C9A">
              <w:rPr>
                <w:noProof/>
                <w:webHidden/>
              </w:rPr>
              <w:tab/>
            </w:r>
            <w:r w:rsidR="00921C9A">
              <w:rPr>
                <w:noProof/>
                <w:webHidden/>
              </w:rPr>
              <w:fldChar w:fldCharType="begin"/>
            </w:r>
            <w:r w:rsidR="00921C9A">
              <w:rPr>
                <w:noProof/>
                <w:webHidden/>
              </w:rPr>
              <w:instrText xml:space="preserve"> PAGEREF _Toc117886758 \h </w:instrText>
            </w:r>
            <w:r w:rsidR="00921C9A">
              <w:rPr>
                <w:noProof/>
                <w:webHidden/>
              </w:rPr>
            </w:r>
            <w:r w:rsidR="00921C9A">
              <w:rPr>
                <w:noProof/>
                <w:webHidden/>
              </w:rPr>
              <w:fldChar w:fldCharType="separate"/>
            </w:r>
            <w:r w:rsidR="00921C9A">
              <w:rPr>
                <w:noProof/>
                <w:webHidden/>
              </w:rPr>
              <w:t>14</w:t>
            </w:r>
            <w:r w:rsidR="00921C9A">
              <w:rPr>
                <w:noProof/>
                <w:webHidden/>
              </w:rPr>
              <w:fldChar w:fldCharType="end"/>
            </w:r>
          </w:hyperlink>
        </w:p>
        <w:p w14:paraId="0A6B2D65" w14:textId="5D9FCF07" w:rsidR="00921C9A" w:rsidRDefault="00DF7755">
          <w:pPr>
            <w:pStyle w:val="TOC3"/>
            <w:rPr>
              <w:rFonts w:eastAsiaTheme="minorEastAsia"/>
              <w:noProof/>
              <w:sz w:val="22"/>
              <w:szCs w:val="22"/>
              <w:lang w:val="en-US"/>
            </w:rPr>
          </w:pPr>
          <w:hyperlink w:anchor="_Toc117886759" w:history="1">
            <w:r w:rsidR="00921C9A" w:rsidRPr="00480D3B">
              <w:rPr>
                <w:rStyle w:val="Hyperlink"/>
                <w:noProof/>
                <w:lang w:val="fr-CA"/>
              </w:rPr>
              <w:t>Objectifs en matière d’accessibilité</w:t>
            </w:r>
            <w:r w:rsidR="00921C9A">
              <w:rPr>
                <w:noProof/>
                <w:webHidden/>
              </w:rPr>
              <w:tab/>
            </w:r>
            <w:r w:rsidR="00921C9A">
              <w:rPr>
                <w:noProof/>
                <w:webHidden/>
              </w:rPr>
              <w:fldChar w:fldCharType="begin"/>
            </w:r>
            <w:r w:rsidR="00921C9A">
              <w:rPr>
                <w:noProof/>
                <w:webHidden/>
              </w:rPr>
              <w:instrText xml:space="preserve"> PAGEREF _Toc117886759 \h </w:instrText>
            </w:r>
            <w:r w:rsidR="00921C9A">
              <w:rPr>
                <w:noProof/>
                <w:webHidden/>
              </w:rPr>
            </w:r>
            <w:r w:rsidR="00921C9A">
              <w:rPr>
                <w:noProof/>
                <w:webHidden/>
              </w:rPr>
              <w:fldChar w:fldCharType="separate"/>
            </w:r>
            <w:r w:rsidR="00921C9A">
              <w:rPr>
                <w:noProof/>
                <w:webHidden/>
              </w:rPr>
              <w:t>14</w:t>
            </w:r>
            <w:r w:rsidR="00921C9A">
              <w:rPr>
                <w:noProof/>
                <w:webHidden/>
              </w:rPr>
              <w:fldChar w:fldCharType="end"/>
            </w:r>
          </w:hyperlink>
        </w:p>
        <w:p w14:paraId="4CB92A85" w14:textId="00872276" w:rsidR="00921C9A" w:rsidRDefault="00DF7755">
          <w:pPr>
            <w:pStyle w:val="TOC2"/>
            <w:tabs>
              <w:tab w:val="left" w:pos="880"/>
              <w:tab w:val="right" w:leader="dot" w:pos="9350"/>
            </w:tabs>
            <w:rPr>
              <w:rFonts w:eastAsiaTheme="minorEastAsia"/>
              <w:b w:val="0"/>
              <w:noProof/>
              <w:sz w:val="22"/>
              <w:szCs w:val="22"/>
              <w:lang w:val="en-US"/>
            </w:rPr>
          </w:pPr>
          <w:hyperlink w:anchor="_Toc117886760" w:history="1">
            <w:r w:rsidR="00921C9A" w:rsidRPr="00480D3B">
              <w:rPr>
                <w:rStyle w:val="Hyperlink"/>
                <w:noProof/>
                <w:lang w:val="fr-CA"/>
              </w:rPr>
              <w:t>3.4</w:t>
            </w:r>
            <w:r w:rsidR="00921C9A">
              <w:rPr>
                <w:rFonts w:eastAsiaTheme="minorEastAsia"/>
                <w:b w:val="0"/>
                <w:noProof/>
                <w:sz w:val="22"/>
                <w:szCs w:val="22"/>
                <w:lang w:val="en-US"/>
              </w:rPr>
              <w:tab/>
            </w:r>
            <w:r w:rsidR="00921C9A" w:rsidRPr="00480D3B">
              <w:rPr>
                <w:rStyle w:val="Hyperlink"/>
                <w:noProof/>
              </w:rPr>
              <w:t>Communications autres que TIC</w:t>
            </w:r>
            <w:r w:rsidR="00921C9A">
              <w:rPr>
                <w:noProof/>
                <w:webHidden/>
              </w:rPr>
              <w:tab/>
            </w:r>
            <w:r w:rsidR="00921C9A">
              <w:rPr>
                <w:noProof/>
                <w:webHidden/>
              </w:rPr>
              <w:fldChar w:fldCharType="begin"/>
            </w:r>
            <w:r w:rsidR="00921C9A">
              <w:rPr>
                <w:noProof/>
                <w:webHidden/>
              </w:rPr>
              <w:instrText xml:space="preserve"> PAGEREF _Toc117886760 \h </w:instrText>
            </w:r>
            <w:r w:rsidR="00921C9A">
              <w:rPr>
                <w:noProof/>
                <w:webHidden/>
              </w:rPr>
            </w:r>
            <w:r w:rsidR="00921C9A">
              <w:rPr>
                <w:noProof/>
                <w:webHidden/>
              </w:rPr>
              <w:fldChar w:fldCharType="separate"/>
            </w:r>
            <w:r w:rsidR="00921C9A">
              <w:rPr>
                <w:noProof/>
                <w:webHidden/>
              </w:rPr>
              <w:t>15</w:t>
            </w:r>
            <w:r w:rsidR="00921C9A">
              <w:rPr>
                <w:noProof/>
                <w:webHidden/>
              </w:rPr>
              <w:fldChar w:fldCharType="end"/>
            </w:r>
          </w:hyperlink>
        </w:p>
        <w:p w14:paraId="76A11E4F" w14:textId="1BF3323C" w:rsidR="00921C9A" w:rsidRDefault="00DF7755">
          <w:pPr>
            <w:pStyle w:val="TOC3"/>
            <w:rPr>
              <w:rFonts w:eastAsiaTheme="minorEastAsia"/>
              <w:noProof/>
              <w:sz w:val="22"/>
              <w:szCs w:val="22"/>
              <w:lang w:val="en-US"/>
            </w:rPr>
          </w:pPr>
          <w:hyperlink w:anchor="_Toc117886761" w:history="1">
            <w:r w:rsidR="00921C9A" w:rsidRPr="00480D3B">
              <w:rPr>
                <w:rStyle w:val="Hyperlink"/>
                <w:noProof/>
                <w:lang w:val="fr-CA"/>
              </w:rPr>
              <w:t>Aperçu</w:t>
            </w:r>
            <w:r w:rsidR="00921C9A">
              <w:rPr>
                <w:noProof/>
                <w:webHidden/>
              </w:rPr>
              <w:tab/>
            </w:r>
            <w:r w:rsidR="00921C9A">
              <w:rPr>
                <w:noProof/>
                <w:webHidden/>
              </w:rPr>
              <w:fldChar w:fldCharType="begin"/>
            </w:r>
            <w:r w:rsidR="00921C9A">
              <w:rPr>
                <w:noProof/>
                <w:webHidden/>
              </w:rPr>
              <w:instrText xml:space="preserve"> PAGEREF _Toc117886761 \h </w:instrText>
            </w:r>
            <w:r w:rsidR="00921C9A">
              <w:rPr>
                <w:noProof/>
                <w:webHidden/>
              </w:rPr>
            </w:r>
            <w:r w:rsidR="00921C9A">
              <w:rPr>
                <w:noProof/>
                <w:webHidden/>
              </w:rPr>
              <w:fldChar w:fldCharType="separate"/>
            </w:r>
            <w:r w:rsidR="00921C9A">
              <w:rPr>
                <w:noProof/>
                <w:webHidden/>
              </w:rPr>
              <w:t>15</w:t>
            </w:r>
            <w:r w:rsidR="00921C9A">
              <w:rPr>
                <w:noProof/>
                <w:webHidden/>
              </w:rPr>
              <w:fldChar w:fldCharType="end"/>
            </w:r>
          </w:hyperlink>
        </w:p>
        <w:p w14:paraId="1E14AF6B" w14:textId="49C08A66" w:rsidR="00921C9A" w:rsidRDefault="00DF7755">
          <w:pPr>
            <w:pStyle w:val="TOC3"/>
            <w:rPr>
              <w:rFonts w:eastAsiaTheme="minorEastAsia"/>
              <w:noProof/>
              <w:sz w:val="22"/>
              <w:szCs w:val="22"/>
              <w:lang w:val="en-US"/>
            </w:rPr>
          </w:pPr>
          <w:hyperlink w:anchor="_Toc117886762" w:history="1">
            <w:r w:rsidR="00921C9A" w:rsidRPr="00480D3B">
              <w:rPr>
                <w:rStyle w:val="Hyperlink"/>
                <w:noProof/>
                <w:lang w:val="fr-CA"/>
              </w:rPr>
              <w:t>État actuel de l’accessibilité</w:t>
            </w:r>
            <w:r w:rsidR="00921C9A">
              <w:rPr>
                <w:noProof/>
                <w:webHidden/>
              </w:rPr>
              <w:tab/>
            </w:r>
            <w:r w:rsidR="00921C9A">
              <w:rPr>
                <w:noProof/>
                <w:webHidden/>
              </w:rPr>
              <w:fldChar w:fldCharType="begin"/>
            </w:r>
            <w:r w:rsidR="00921C9A">
              <w:rPr>
                <w:noProof/>
                <w:webHidden/>
              </w:rPr>
              <w:instrText xml:space="preserve"> PAGEREF _Toc117886762 \h </w:instrText>
            </w:r>
            <w:r w:rsidR="00921C9A">
              <w:rPr>
                <w:noProof/>
                <w:webHidden/>
              </w:rPr>
            </w:r>
            <w:r w:rsidR="00921C9A">
              <w:rPr>
                <w:noProof/>
                <w:webHidden/>
              </w:rPr>
              <w:fldChar w:fldCharType="separate"/>
            </w:r>
            <w:r w:rsidR="00921C9A">
              <w:rPr>
                <w:noProof/>
                <w:webHidden/>
              </w:rPr>
              <w:t>16</w:t>
            </w:r>
            <w:r w:rsidR="00921C9A">
              <w:rPr>
                <w:noProof/>
                <w:webHidden/>
              </w:rPr>
              <w:fldChar w:fldCharType="end"/>
            </w:r>
          </w:hyperlink>
        </w:p>
        <w:p w14:paraId="1A9A52F2" w14:textId="21A1B11B" w:rsidR="00921C9A" w:rsidRDefault="00DF7755">
          <w:pPr>
            <w:pStyle w:val="TOC3"/>
            <w:rPr>
              <w:rFonts w:eastAsiaTheme="minorEastAsia"/>
              <w:noProof/>
              <w:sz w:val="22"/>
              <w:szCs w:val="22"/>
              <w:lang w:val="en-US"/>
            </w:rPr>
          </w:pPr>
          <w:hyperlink w:anchor="_Toc117886763" w:history="1">
            <w:r w:rsidR="00921C9A" w:rsidRPr="00480D3B">
              <w:rPr>
                <w:rStyle w:val="Hyperlink"/>
                <w:noProof/>
                <w:lang w:val="fr-CA"/>
              </w:rPr>
              <w:t>Objectifs en matière d’accessibilité</w:t>
            </w:r>
            <w:r w:rsidR="00921C9A">
              <w:rPr>
                <w:noProof/>
                <w:webHidden/>
              </w:rPr>
              <w:tab/>
            </w:r>
            <w:r w:rsidR="00921C9A">
              <w:rPr>
                <w:noProof/>
                <w:webHidden/>
              </w:rPr>
              <w:fldChar w:fldCharType="begin"/>
            </w:r>
            <w:r w:rsidR="00921C9A">
              <w:rPr>
                <w:noProof/>
                <w:webHidden/>
              </w:rPr>
              <w:instrText xml:space="preserve"> PAGEREF _Toc117886763 \h </w:instrText>
            </w:r>
            <w:r w:rsidR="00921C9A">
              <w:rPr>
                <w:noProof/>
                <w:webHidden/>
              </w:rPr>
            </w:r>
            <w:r w:rsidR="00921C9A">
              <w:rPr>
                <w:noProof/>
                <w:webHidden/>
              </w:rPr>
              <w:fldChar w:fldCharType="separate"/>
            </w:r>
            <w:r w:rsidR="00921C9A">
              <w:rPr>
                <w:noProof/>
                <w:webHidden/>
              </w:rPr>
              <w:t>16</w:t>
            </w:r>
            <w:r w:rsidR="00921C9A">
              <w:rPr>
                <w:noProof/>
                <w:webHidden/>
              </w:rPr>
              <w:fldChar w:fldCharType="end"/>
            </w:r>
          </w:hyperlink>
        </w:p>
        <w:p w14:paraId="2D6CD4CC" w14:textId="7952CA21" w:rsidR="00921C9A" w:rsidRDefault="00DF7755">
          <w:pPr>
            <w:pStyle w:val="TOC2"/>
            <w:tabs>
              <w:tab w:val="left" w:pos="880"/>
              <w:tab w:val="right" w:leader="dot" w:pos="9350"/>
            </w:tabs>
            <w:rPr>
              <w:rFonts w:eastAsiaTheme="minorEastAsia"/>
              <w:b w:val="0"/>
              <w:noProof/>
              <w:sz w:val="22"/>
              <w:szCs w:val="22"/>
              <w:lang w:val="en-US"/>
            </w:rPr>
          </w:pPr>
          <w:hyperlink w:anchor="_Toc117886764" w:history="1">
            <w:r w:rsidR="00921C9A" w:rsidRPr="00480D3B">
              <w:rPr>
                <w:rStyle w:val="Hyperlink"/>
                <w:noProof/>
                <w:lang w:val="fr-CA"/>
              </w:rPr>
              <w:t>3.5</w:t>
            </w:r>
            <w:r w:rsidR="00921C9A">
              <w:rPr>
                <w:rFonts w:eastAsiaTheme="minorEastAsia"/>
                <w:b w:val="0"/>
                <w:noProof/>
                <w:sz w:val="22"/>
                <w:szCs w:val="22"/>
                <w:lang w:val="en-US"/>
              </w:rPr>
              <w:tab/>
            </w:r>
            <w:r w:rsidR="00921C9A" w:rsidRPr="00480D3B">
              <w:rPr>
                <w:rStyle w:val="Hyperlink"/>
                <w:noProof/>
                <w:lang w:val="fr-CA"/>
              </w:rPr>
              <w:t>Acquisition de biens, de services et d’installations</w:t>
            </w:r>
            <w:r w:rsidR="00921C9A">
              <w:rPr>
                <w:noProof/>
                <w:webHidden/>
              </w:rPr>
              <w:tab/>
            </w:r>
            <w:r w:rsidR="00921C9A">
              <w:rPr>
                <w:noProof/>
                <w:webHidden/>
              </w:rPr>
              <w:fldChar w:fldCharType="begin"/>
            </w:r>
            <w:r w:rsidR="00921C9A">
              <w:rPr>
                <w:noProof/>
                <w:webHidden/>
              </w:rPr>
              <w:instrText xml:space="preserve"> PAGEREF _Toc117886764 \h </w:instrText>
            </w:r>
            <w:r w:rsidR="00921C9A">
              <w:rPr>
                <w:noProof/>
                <w:webHidden/>
              </w:rPr>
            </w:r>
            <w:r w:rsidR="00921C9A">
              <w:rPr>
                <w:noProof/>
                <w:webHidden/>
              </w:rPr>
              <w:fldChar w:fldCharType="separate"/>
            </w:r>
            <w:r w:rsidR="00921C9A">
              <w:rPr>
                <w:noProof/>
                <w:webHidden/>
              </w:rPr>
              <w:t>17</w:t>
            </w:r>
            <w:r w:rsidR="00921C9A">
              <w:rPr>
                <w:noProof/>
                <w:webHidden/>
              </w:rPr>
              <w:fldChar w:fldCharType="end"/>
            </w:r>
          </w:hyperlink>
        </w:p>
        <w:p w14:paraId="432C6981" w14:textId="5577511E" w:rsidR="00921C9A" w:rsidRDefault="00DF7755">
          <w:pPr>
            <w:pStyle w:val="TOC3"/>
            <w:rPr>
              <w:rFonts w:eastAsiaTheme="minorEastAsia"/>
              <w:noProof/>
              <w:sz w:val="22"/>
              <w:szCs w:val="22"/>
              <w:lang w:val="en-US"/>
            </w:rPr>
          </w:pPr>
          <w:hyperlink w:anchor="_Toc117886765" w:history="1">
            <w:r w:rsidR="00921C9A" w:rsidRPr="00480D3B">
              <w:rPr>
                <w:rStyle w:val="Hyperlink"/>
                <w:noProof/>
                <w:lang w:val="fr-CA"/>
              </w:rPr>
              <w:t>Aperçu</w:t>
            </w:r>
            <w:r w:rsidR="00921C9A">
              <w:rPr>
                <w:noProof/>
                <w:webHidden/>
              </w:rPr>
              <w:tab/>
            </w:r>
            <w:r w:rsidR="00921C9A">
              <w:rPr>
                <w:noProof/>
                <w:webHidden/>
              </w:rPr>
              <w:fldChar w:fldCharType="begin"/>
            </w:r>
            <w:r w:rsidR="00921C9A">
              <w:rPr>
                <w:noProof/>
                <w:webHidden/>
              </w:rPr>
              <w:instrText xml:space="preserve"> PAGEREF _Toc117886765 \h </w:instrText>
            </w:r>
            <w:r w:rsidR="00921C9A">
              <w:rPr>
                <w:noProof/>
                <w:webHidden/>
              </w:rPr>
            </w:r>
            <w:r w:rsidR="00921C9A">
              <w:rPr>
                <w:noProof/>
                <w:webHidden/>
              </w:rPr>
              <w:fldChar w:fldCharType="separate"/>
            </w:r>
            <w:r w:rsidR="00921C9A">
              <w:rPr>
                <w:noProof/>
                <w:webHidden/>
              </w:rPr>
              <w:t>17</w:t>
            </w:r>
            <w:r w:rsidR="00921C9A">
              <w:rPr>
                <w:noProof/>
                <w:webHidden/>
              </w:rPr>
              <w:fldChar w:fldCharType="end"/>
            </w:r>
          </w:hyperlink>
        </w:p>
        <w:p w14:paraId="19D85A13" w14:textId="673C1EBE" w:rsidR="00921C9A" w:rsidRDefault="00DF7755">
          <w:pPr>
            <w:pStyle w:val="TOC3"/>
            <w:rPr>
              <w:rFonts w:eastAsiaTheme="minorEastAsia"/>
              <w:noProof/>
              <w:sz w:val="22"/>
              <w:szCs w:val="22"/>
              <w:lang w:val="en-US"/>
            </w:rPr>
          </w:pPr>
          <w:hyperlink w:anchor="_Toc117886766" w:history="1">
            <w:r w:rsidR="00921C9A" w:rsidRPr="00480D3B">
              <w:rPr>
                <w:rStyle w:val="Hyperlink"/>
                <w:noProof/>
                <w:lang w:val="fr-CA"/>
              </w:rPr>
              <w:t>État actuel de l’accessibilité</w:t>
            </w:r>
            <w:r w:rsidR="00921C9A">
              <w:rPr>
                <w:noProof/>
                <w:webHidden/>
              </w:rPr>
              <w:tab/>
            </w:r>
            <w:r w:rsidR="00921C9A">
              <w:rPr>
                <w:noProof/>
                <w:webHidden/>
              </w:rPr>
              <w:fldChar w:fldCharType="begin"/>
            </w:r>
            <w:r w:rsidR="00921C9A">
              <w:rPr>
                <w:noProof/>
                <w:webHidden/>
              </w:rPr>
              <w:instrText xml:space="preserve"> PAGEREF _Toc117886766 \h </w:instrText>
            </w:r>
            <w:r w:rsidR="00921C9A">
              <w:rPr>
                <w:noProof/>
                <w:webHidden/>
              </w:rPr>
            </w:r>
            <w:r w:rsidR="00921C9A">
              <w:rPr>
                <w:noProof/>
                <w:webHidden/>
              </w:rPr>
              <w:fldChar w:fldCharType="separate"/>
            </w:r>
            <w:r w:rsidR="00921C9A">
              <w:rPr>
                <w:noProof/>
                <w:webHidden/>
              </w:rPr>
              <w:t>17</w:t>
            </w:r>
            <w:r w:rsidR="00921C9A">
              <w:rPr>
                <w:noProof/>
                <w:webHidden/>
              </w:rPr>
              <w:fldChar w:fldCharType="end"/>
            </w:r>
          </w:hyperlink>
        </w:p>
        <w:p w14:paraId="1C044713" w14:textId="4222D7D3" w:rsidR="00921C9A" w:rsidRDefault="00DF7755">
          <w:pPr>
            <w:pStyle w:val="TOC3"/>
            <w:rPr>
              <w:rFonts w:eastAsiaTheme="minorEastAsia"/>
              <w:noProof/>
              <w:sz w:val="22"/>
              <w:szCs w:val="22"/>
              <w:lang w:val="en-US"/>
            </w:rPr>
          </w:pPr>
          <w:hyperlink w:anchor="_Toc117886767" w:history="1">
            <w:r w:rsidR="00921C9A" w:rsidRPr="00480D3B">
              <w:rPr>
                <w:rStyle w:val="Hyperlink"/>
                <w:noProof/>
                <w:lang w:val="fr-CA"/>
              </w:rPr>
              <w:t>Objectifs en matière d’accessibilité</w:t>
            </w:r>
            <w:r w:rsidR="00921C9A">
              <w:rPr>
                <w:noProof/>
                <w:webHidden/>
              </w:rPr>
              <w:tab/>
            </w:r>
            <w:r w:rsidR="00921C9A">
              <w:rPr>
                <w:noProof/>
                <w:webHidden/>
              </w:rPr>
              <w:fldChar w:fldCharType="begin"/>
            </w:r>
            <w:r w:rsidR="00921C9A">
              <w:rPr>
                <w:noProof/>
                <w:webHidden/>
              </w:rPr>
              <w:instrText xml:space="preserve"> PAGEREF _Toc117886767 \h </w:instrText>
            </w:r>
            <w:r w:rsidR="00921C9A">
              <w:rPr>
                <w:noProof/>
                <w:webHidden/>
              </w:rPr>
            </w:r>
            <w:r w:rsidR="00921C9A">
              <w:rPr>
                <w:noProof/>
                <w:webHidden/>
              </w:rPr>
              <w:fldChar w:fldCharType="separate"/>
            </w:r>
            <w:r w:rsidR="00921C9A">
              <w:rPr>
                <w:noProof/>
                <w:webHidden/>
              </w:rPr>
              <w:t>17</w:t>
            </w:r>
            <w:r w:rsidR="00921C9A">
              <w:rPr>
                <w:noProof/>
                <w:webHidden/>
              </w:rPr>
              <w:fldChar w:fldCharType="end"/>
            </w:r>
          </w:hyperlink>
        </w:p>
        <w:p w14:paraId="6B2751E8" w14:textId="3ED25E99" w:rsidR="00921C9A" w:rsidRDefault="00DF7755">
          <w:pPr>
            <w:pStyle w:val="TOC2"/>
            <w:tabs>
              <w:tab w:val="left" w:pos="880"/>
              <w:tab w:val="right" w:leader="dot" w:pos="9350"/>
            </w:tabs>
            <w:rPr>
              <w:rFonts w:eastAsiaTheme="minorEastAsia"/>
              <w:b w:val="0"/>
              <w:noProof/>
              <w:sz w:val="22"/>
              <w:szCs w:val="22"/>
              <w:lang w:val="en-US"/>
            </w:rPr>
          </w:pPr>
          <w:hyperlink w:anchor="_Toc117886768" w:history="1">
            <w:r w:rsidR="00921C9A" w:rsidRPr="00480D3B">
              <w:rPr>
                <w:rStyle w:val="Hyperlink"/>
                <w:noProof/>
                <w:lang w:val="fr-CA"/>
              </w:rPr>
              <w:t>3.6</w:t>
            </w:r>
            <w:r w:rsidR="00921C9A">
              <w:rPr>
                <w:rFonts w:eastAsiaTheme="minorEastAsia"/>
                <w:b w:val="0"/>
                <w:noProof/>
                <w:sz w:val="22"/>
                <w:szCs w:val="22"/>
                <w:lang w:val="en-US"/>
              </w:rPr>
              <w:tab/>
            </w:r>
            <w:r w:rsidR="00921C9A" w:rsidRPr="00480D3B">
              <w:rPr>
                <w:rStyle w:val="Hyperlink"/>
                <w:noProof/>
                <w:lang w:val="fr-CA"/>
              </w:rPr>
              <w:t>Conception et prestation de programmes et services</w:t>
            </w:r>
            <w:r w:rsidR="00921C9A">
              <w:rPr>
                <w:noProof/>
                <w:webHidden/>
              </w:rPr>
              <w:tab/>
            </w:r>
            <w:r w:rsidR="00921C9A">
              <w:rPr>
                <w:noProof/>
                <w:webHidden/>
              </w:rPr>
              <w:fldChar w:fldCharType="begin"/>
            </w:r>
            <w:r w:rsidR="00921C9A">
              <w:rPr>
                <w:noProof/>
                <w:webHidden/>
              </w:rPr>
              <w:instrText xml:space="preserve"> PAGEREF _Toc117886768 \h </w:instrText>
            </w:r>
            <w:r w:rsidR="00921C9A">
              <w:rPr>
                <w:noProof/>
                <w:webHidden/>
              </w:rPr>
            </w:r>
            <w:r w:rsidR="00921C9A">
              <w:rPr>
                <w:noProof/>
                <w:webHidden/>
              </w:rPr>
              <w:fldChar w:fldCharType="separate"/>
            </w:r>
            <w:r w:rsidR="00921C9A">
              <w:rPr>
                <w:noProof/>
                <w:webHidden/>
              </w:rPr>
              <w:t>18</w:t>
            </w:r>
            <w:r w:rsidR="00921C9A">
              <w:rPr>
                <w:noProof/>
                <w:webHidden/>
              </w:rPr>
              <w:fldChar w:fldCharType="end"/>
            </w:r>
          </w:hyperlink>
        </w:p>
        <w:p w14:paraId="5E7E1F59" w14:textId="4A99B04C" w:rsidR="00921C9A" w:rsidRDefault="00DF7755">
          <w:pPr>
            <w:pStyle w:val="TOC3"/>
            <w:rPr>
              <w:rFonts w:eastAsiaTheme="minorEastAsia"/>
              <w:noProof/>
              <w:sz w:val="22"/>
              <w:szCs w:val="22"/>
              <w:lang w:val="en-US"/>
            </w:rPr>
          </w:pPr>
          <w:hyperlink w:anchor="_Toc117886769" w:history="1">
            <w:r w:rsidR="00921C9A" w:rsidRPr="00480D3B">
              <w:rPr>
                <w:rStyle w:val="Hyperlink"/>
                <w:noProof/>
                <w:lang w:val="fr-CA"/>
              </w:rPr>
              <w:t>Aperçu</w:t>
            </w:r>
            <w:r w:rsidR="00921C9A">
              <w:rPr>
                <w:noProof/>
                <w:webHidden/>
              </w:rPr>
              <w:tab/>
            </w:r>
            <w:r w:rsidR="00921C9A">
              <w:rPr>
                <w:noProof/>
                <w:webHidden/>
              </w:rPr>
              <w:fldChar w:fldCharType="begin"/>
            </w:r>
            <w:r w:rsidR="00921C9A">
              <w:rPr>
                <w:noProof/>
                <w:webHidden/>
              </w:rPr>
              <w:instrText xml:space="preserve"> PAGEREF _Toc117886769 \h </w:instrText>
            </w:r>
            <w:r w:rsidR="00921C9A">
              <w:rPr>
                <w:noProof/>
                <w:webHidden/>
              </w:rPr>
            </w:r>
            <w:r w:rsidR="00921C9A">
              <w:rPr>
                <w:noProof/>
                <w:webHidden/>
              </w:rPr>
              <w:fldChar w:fldCharType="separate"/>
            </w:r>
            <w:r w:rsidR="00921C9A">
              <w:rPr>
                <w:noProof/>
                <w:webHidden/>
              </w:rPr>
              <w:t>18</w:t>
            </w:r>
            <w:r w:rsidR="00921C9A">
              <w:rPr>
                <w:noProof/>
                <w:webHidden/>
              </w:rPr>
              <w:fldChar w:fldCharType="end"/>
            </w:r>
          </w:hyperlink>
        </w:p>
        <w:p w14:paraId="27859318" w14:textId="4D72F81D" w:rsidR="00921C9A" w:rsidRDefault="00DF7755">
          <w:pPr>
            <w:pStyle w:val="TOC3"/>
            <w:rPr>
              <w:rFonts w:eastAsiaTheme="minorEastAsia"/>
              <w:noProof/>
              <w:sz w:val="22"/>
              <w:szCs w:val="22"/>
              <w:lang w:val="en-US"/>
            </w:rPr>
          </w:pPr>
          <w:hyperlink w:anchor="_Toc117886770" w:history="1">
            <w:r w:rsidR="00921C9A" w:rsidRPr="00480D3B">
              <w:rPr>
                <w:rStyle w:val="Hyperlink"/>
                <w:noProof/>
                <w:lang w:val="fr-CA"/>
              </w:rPr>
              <w:t>État actuel de l’accessibilité</w:t>
            </w:r>
            <w:r w:rsidR="00921C9A">
              <w:rPr>
                <w:noProof/>
                <w:webHidden/>
              </w:rPr>
              <w:tab/>
            </w:r>
            <w:r w:rsidR="00921C9A">
              <w:rPr>
                <w:noProof/>
                <w:webHidden/>
              </w:rPr>
              <w:fldChar w:fldCharType="begin"/>
            </w:r>
            <w:r w:rsidR="00921C9A">
              <w:rPr>
                <w:noProof/>
                <w:webHidden/>
              </w:rPr>
              <w:instrText xml:space="preserve"> PAGEREF _Toc117886770 \h </w:instrText>
            </w:r>
            <w:r w:rsidR="00921C9A">
              <w:rPr>
                <w:noProof/>
                <w:webHidden/>
              </w:rPr>
            </w:r>
            <w:r w:rsidR="00921C9A">
              <w:rPr>
                <w:noProof/>
                <w:webHidden/>
              </w:rPr>
              <w:fldChar w:fldCharType="separate"/>
            </w:r>
            <w:r w:rsidR="00921C9A">
              <w:rPr>
                <w:noProof/>
                <w:webHidden/>
              </w:rPr>
              <w:t>18</w:t>
            </w:r>
            <w:r w:rsidR="00921C9A">
              <w:rPr>
                <w:noProof/>
                <w:webHidden/>
              </w:rPr>
              <w:fldChar w:fldCharType="end"/>
            </w:r>
          </w:hyperlink>
        </w:p>
        <w:p w14:paraId="4A68B990" w14:textId="7BBAE0E4" w:rsidR="00921C9A" w:rsidRDefault="00DF7755">
          <w:pPr>
            <w:pStyle w:val="TOC3"/>
            <w:rPr>
              <w:rFonts w:eastAsiaTheme="minorEastAsia"/>
              <w:noProof/>
              <w:sz w:val="22"/>
              <w:szCs w:val="22"/>
              <w:lang w:val="en-US"/>
            </w:rPr>
          </w:pPr>
          <w:hyperlink w:anchor="_Toc117886771" w:history="1">
            <w:r w:rsidR="00921C9A" w:rsidRPr="00480D3B">
              <w:rPr>
                <w:rStyle w:val="Hyperlink"/>
                <w:noProof/>
                <w:lang w:val="fr-CA"/>
              </w:rPr>
              <w:t>Objectifs en matière d’accessibilité</w:t>
            </w:r>
            <w:r w:rsidR="00921C9A">
              <w:rPr>
                <w:noProof/>
                <w:webHidden/>
              </w:rPr>
              <w:tab/>
            </w:r>
            <w:r w:rsidR="00921C9A">
              <w:rPr>
                <w:noProof/>
                <w:webHidden/>
              </w:rPr>
              <w:fldChar w:fldCharType="begin"/>
            </w:r>
            <w:r w:rsidR="00921C9A">
              <w:rPr>
                <w:noProof/>
                <w:webHidden/>
              </w:rPr>
              <w:instrText xml:space="preserve"> PAGEREF _Toc117886771 \h </w:instrText>
            </w:r>
            <w:r w:rsidR="00921C9A">
              <w:rPr>
                <w:noProof/>
                <w:webHidden/>
              </w:rPr>
            </w:r>
            <w:r w:rsidR="00921C9A">
              <w:rPr>
                <w:noProof/>
                <w:webHidden/>
              </w:rPr>
              <w:fldChar w:fldCharType="separate"/>
            </w:r>
            <w:r w:rsidR="00921C9A">
              <w:rPr>
                <w:noProof/>
                <w:webHidden/>
              </w:rPr>
              <w:t>19</w:t>
            </w:r>
            <w:r w:rsidR="00921C9A">
              <w:rPr>
                <w:noProof/>
                <w:webHidden/>
              </w:rPr>
              <w:fldChar w:fldCharType="end"/>
            </w:r>
          </w:hyperlink>
        </w:p>
        <w:p w14:paraId="2EA3ABD8" w14:textId="62E1C65B" w:rsidR="00921C9A" w:rsidRDefault="00DF7755">
          <w:pPr>
            <w:pStyle w:val="TOC2"/>
            <w:tabs>
              <w:tab w:val="left" w:pos="880"/>
              <w:tab w:val="right" w:leader="dot" w:pos="9350"/>
            </w:tabs>
            <w:rPr>
              <w:rFonts w:eastAsiaTheme="minorEastAsia"/>
              <w:b w:val="0"/>
              <w:noProof/>
              <w:sz w:val="22"/>
              <w:szCs w:val="22"/>
              <w:lang w:val="en-US"/>
            </w:rPr>
          </w:pPr>
          <w:hyperlink w:anchor="_Toc117886772" w:history="1">
            <w:r w:rsidR="00921C9A" w:rsidRPr="00480D3B">
              <w:rPr>
                <w:rStyle w:val="Hyperlink"/>
                <w:noProof/>
                <w:lang w:val="fr-CA"/>
              </w:rPr>
              <w:t>3.7</w:t>
            </w:r>
            <w:r w:rsidR="00921C9A">
              <w:rPr>
                <w:rFonts w:eastAsiaTheme="minorEastAsia"/>
                <w:b w:val="0"/>
                <w:noProof/>
                <w:sz w:val="22"/>
                <w:szCs w:val="22"/>
                <w:lang w:val="en-US"/>
              </w:rPr>
              <w:tab/>
            </w:r>
            <w:r w:rsidR="00921C9A" w:rsidRPr="00480D3B">
              <w:rPr>
                <w:rStyle w:val="Hyperlink"/>
                <w:noProof/>
                <w:lang w:val="fr-CA"/>
              </w:rPr>
              <w:t>Transports</w:t>
            </w:r>
            <w:r w:rsidR="00921C9A">
              <w:rPr>
                <w:noProof/>
                <w:webHidden/>
              </w:rPr>
              <w:tab/>
            </w:r>
            <w:r w:rsidR="00921C9A">
              <w:rPr>
                <w:noProof/>
                <w:webHidden/>
              </w:rPr>
              <w:fldChar w:fldCharType="begin"/>
            </w:r>
            <w:r w:rsidR="00921C9A">
              <w:rPr>
                <w:noProof/>
                <w:webHidden/>
              </w:rPr>
              <w:instrText xml:space="preserve"> PAGEREF _Toc117886772 \h </w:instrText>
            </w:r>
            <w:r w:rsidR="00921C9A">
              <w:rPr>
                <w:noProof/>
                <w:webHidden/>
              </w:rPr>
            </w:r>
            <w:r w:rsidR="00921C9A">
              <w:rPr>
                <w:noProof/>
                <w:webHidden/>
              </w:rPr>
              <w:fldChar w:fldCharType="separate"/>
            </w:r>
            <w:r w:rsidR="00921C9A">
              <w:rPr>
                <w:noProof/>
                <w:webHidden/>
              </w:rPr>
              <w:t>20</w:t>
            </w:r>
            <w:r w:rsidR="00921C9A">
              <w:rPr>
                <w:noProof/>
                <w:webHidden/>
              </w:rPr>
              <w:fldChar w:fldCharType="end"/>
            </w:r>
          </w:hyperlink>
        </w:p>
        <w:p w14:paraId="580451D6" w14:textId="280DDEED" w:rsidR="00921C9A" w:rsidRDefault="00DF7755">
          <w:pPr>
            <w:pStyle w:val="TOC3"/>
            <w:rPr>
              <w:rFonts w:eastAsiaTheme="minorEastAsia"/>
              <w:noProof/>
              <w:sz w:val="22"/>
              <w:szCs w:val="22"/>
              <w:lang w:val="en-US"/>
            </w:rPr>
          </w:pPr>
          <w:hyperlink w:anchor="_Toc117886773" w:history="1">
            <w:r w:rsidR="00921C9A" w:rsidRPr="00480D3B">
              <w:rPr>
                <w:rStyle w:val="Hyperlink"/>
                <w:noProof/>
                <w:lang w:val="fr-CA"/>
              </w:rPr>
              <w:t>Aperçu</w:t>
            </w:r>
            <w:r w:rsidR="00921C9A">
              <w:rPr>
                <w:noProof/>
                <w:webHidden/>
              </w:rPr>
              <w:tab/>
            </w:r>
            <w:r w:rsidR="00921C9A">
              <w:rPr>
                <w:noProof/>
                <w:webHidden/>
              </w:rPr>
              <w:fldChar w:fldCharType="begin"/>
            </w:r>
            <w:r w:rsidR="00921C9A">
              <w:rPr>
                <w:noProof/>
                <w:webHidden/>
              </w:rPr>
              <w:instrText xml:space="preserve"> PAGEREF _Toc117886773 \h </w:instrText>
            </w:r>
            <w:r w:rsidR="00921C9A">
              <w:rPr>
                <w:noProof/>
                <w:webHidden/>
              </w:rPr>
            </w:r>
            <w:r w:rsidR="00921C9A">
              <w:rPr>
                <w:noProof/>
                <w:webHidden/>
              </w:rPr>
              <w:fldChar w:fldCharType="separate"/>
            </w:r>
            <w:r w:rsidR="00921C9A">
              <w:rPr>
                <w:noProof/>
                <w:webHidden/>
              </w:rPr>
              <w:t>20</w:t>
            </w:r>
            <w:r w:rsidR="00921C9A">
              <w:rPr>
                <w:noProof/>
                <w:webHidden/>
              </w:rPr>
              <w:fldChar w:fldCharType="end"/>
            </w:r>
          </w:hyperlink>
        </w:p>
        <w:p w14:paraId="38C46CD0" w14:textId="3DEBC32C" w:rsidR="00921C9A" w:rsidRDefault="00DF7755">
          <w:pPr>
            <w:pStyle w:val="TOC3"/>
            <w:rPr>
              <w:rFonts w:eastAsiaTheme="minorEastAsia"/>
              <w:noProof/>
              <w:sz w:val="22"/>
              <w:szCs w:val="22"/>
              <w:lang w:val="en-US"/>
            </w:rPr>
          </w:pPr>
          <w:hyperlink w:anchor="_Toc117886774" w:history="1">
            <w:r w:rsidR="00921C9A" w:rsidRPr="00480D3B">
              <w:rPr>
                <w:rStyle w:val="Hyperlink"/>
                <w:noProof/>
                <w:lang w:val="fr-CA"/>
              </w:rPr>
              <w:t>État actuel de l’accessibilité</w:t>
            </w:r>
            <w:r w:rsidR="00921C9A">
              <w:rPr>
                <w:noProof/>
                <w:webHidden/>
              </w:rPr>
              <w:tab/>
            </w:r>
            <w:r w:rsidR="00921C9A">
              <w:rPr>
                <w:noProof/>
                <w:webHidden/>
              </w:rPr>
              <w:fldChar w:fldCharType="begin"/>
            </w:r>
            <w:r w:rsidR="00921C9A">
              <w:rPr>
                <w:noProof/>
                <w:webHidden/>
              </w:rPr>
              <w:instrText xml:space="preserve"> PAGEREF _Toc117886774 \h </w:instrText>
            </w:r>
            <w:r w:rsidR="00921C9A">
              <w:rPr>
                <w:noProof/>
                <w:webHidden/>
              </w:rPr>
            </w:r>
            <w:r w:rsidR="00921C9A">
              <w:rPr>
                <w:noProof/>
                <w:webHidden/>
              </w:rPr>
              <w:fldChar w:fldCharType="separate"/>
            </w:r>
            <w:r w:rsidR="00921C9A">
              <w:rPr>
                <w:noProof/>
                <w:webHidden/>
              </w:rPr>
              <w:t>20</w:t>
            </w:r>
            <w:r w:rsidR="00921C9A">
              <w:rPr>
                <w:noProof/>
                <w:webHidden/>
              </w:rPr>
              <w:fldChar w:fldCharType="end"/>
            </w:r>
          </w:hyperlink>
        </w:p>
        <w:p w14:paraId="628F3AE2" w14:textId="2D2D49C6" w:rsidR="00921C9A" w:rsidRDefault="00DF7755">
          <w:pPr>
            <w:pStyle w:val="TOC3"/>
            <w:rPr>
              <w:rFonts w:eastAsiaTheme="minorEastAsia"/>
              <w:noProof/>
              <w:sz w:val="22"/>
              <w:szCs w:val="22"/>
              <w:lang w:val="en-US"/>
            </w:rPr>
          </w:pPr>
          <w:hyperlink w:anchor="_Toc117886775" w:history="1">
            <w:r w:rsidR="00921C9A" w:rsidRPr="00480D3B">
              <w:rPr>
                <w:rStyle w:val="Hyperlink"/>
                <w:noProof/>
                <w:lang w:val="fr-CA"/>
              </w:rPr>
              <w:t>Objectifs en matière d’accessibilité</w:t>
            </w:r>
            <w:r w:rsidR="00921C9A">
              <w:rPr>
                <w:noProof/>
                <w:webHidden/>
              </w:rPr>
              <w:tab/>
            </w:r>
            <w:r w:rsidR="00921C9A">
              <w:rPr>
                <w:noProof/>
                <w:webHidden/>
              </w:rPr>
              <w:fldChar w:fldCharType="begin"/>
            </w:r>
            <w:r w:rsidR="00921C9A">
              <w:rPr>
                <w:noProof/>
                <w:webHidden/>
              </w:rPr>
              <w:instrText xml:space="preserve"> PAGEREF _Toc117886775 \h </w:instrText>
            </w:r>
            <w:r w:rsidR="00921C9A">
              <w:rPr>
                <w:noProof/>
                <w:webHidden/>
              </w:rPr>
            </w:r>
            <w:r w:rsidR="00921C9A">
              <w:rPr>
                <w:noProof/>
                <w:webHidden/>
              </w:rPr>
              <w:fldChar w:fldCharType="separate"/>
            </w:r>
            <w:r w:rsidR="00921C9A">
              <w:rPr>
                <w:noProof/>
                <w:webHidden/>
              </w:rPr>
              <w:t>21</w:t>
            </w:r>
            <w:r w:rsidR="00921C9A">
              <w:rPr>
                <w:noProof/>
                <w:webHidden/>
              </w:rPr>
              <w:fldChar w:fldCharType="end"/>
            </w:r>
          </w:hyperlink>
        </w:p>
        <w:p w14:paraId="2BD2C958" w14:textId="2244ADCB" w:rsidR="00921C9A" w:rsidRDefault="00DF7755">
          <w:pPr>
            <w:pStyle w:val="TOC2"/>
            <w:tabs>
              <w:tab w:val="left" w:pos="880"/>
              <w:tab w:val="right" w:leader="dot" w:pos="9350"/>
            </w:tabs>
            <w:rPr>
              <w:rFonts w:eastAsiaTheme="minorEastAsia"/>
              <w:b w:val="0"/>
              <w:noProof/>
              <w:sz w:val="22"/>
              <w:szCs w:val="22"/>
              <w:lang w:val="en-US"/>
            </w:rPr>
          </w:pPr>
          <w:hyperlink w:anchor="_Toc117886776" w:history="1">
            <w:r w:rsidR="00921C9A" w:rsidRPr="00480D3B">
              <w:rPr>
                <w:rStyle w:val="Hyperlink"/>
                <w:noProof/>
                <w:lang w:val="fr-CA"/>
              </w:rPr>
              <w:t>3.8</w:t>
            </w:r>
            <w:r w:rsidR="00921C9A">
              <w:rPr>
                <w:rFonts w:eastAsiaTheme="minorEastAsia"/>
                <w:b w:val="0"/>
                <w:noProof/>
                <w:sz w:val="22"/>
                <w:szCs w:val="22"/>
                <w:lang w:val="en-US"/>
              </w:rPr>
              <w:tab/>
            </w:r>
            <w:r w:rsidR="00921C9A" w:rsidRPr="00480D3B">
              <w:rPr>
                <w:rStyle w:val="Hyperlink"/>
                <w:noProof/>
                <w:lang w:val="fr-CA"/>
              </w:rPr>
              <w:t>Initiatives à l’échelle de l’organisation</w:t>
            </w:r>
            <w:r w:rsidR="00921C9A">
              <w:rPr>
                <w:noProof/>
                <w:webHidden/>
              </w:rPr>
              <w:tab/>
            </w:r>
            <w:r w:rsidR="00921C9A">
              <w:rPr>
                <w:noProof/>
                <w:webHidden/>
              </w:rPr>
              <w:fldChar w:fldCharType="begin"/>
            </w:r>
            <w:r w:rsidR="00921C9A">
              <w:rPr>
                <w:noProof/>
                <w:webHidden/>
              </w:rPr>
              <w:instrText xml:space="preserve"> PAGEREF _Toc117886776 \h </w:instrText>
            </w:r>
            <w:r w:rsidR="00921C9A">
              <w:rPr>
                <w:noProof/>
                <w:webHidden/>
              </w:rPr>
            </w:r>
            <w:r w:rsidR="00921C9A">
              <w:rPr>
                <w:noProof/>
                <w:webHidden/>
              </w:rPr>
              <w:fldChar w:fldCharType="separate"/>
            </w:r>
            <w:r w:rsidR="00921C9A">
              <w:rPr>
                <w:noProof/>
                <w:webHidden/>
              </w:rPr>
              <w:t>21</w:t>
            </w:r>
            <w:r w:rsidR="00921C9A">
              <w:rPr>
                <w:noProof/>
                <w:webHidden/>
              </w:rPr>
              <w:fldChar w:fldCharType="end"/>
            </w:r>
          </w:hyperlink>
        </w:p>
        <w:p w14:paraId="5082F542" w14:textId="35ABF5EB" w:rsidR="00921C9A" w:rsidRDefault="00DF7755">
          <w:pPr>
            <w:pStyle w:val="TOC3"/>
            <w:rPr>
              <w:rFonts w:eastAsiaTheme="minorEastAsia"/>
              <w:noProof/>
              <w:sz w:val="22"/>
              <w:szCs w:val="22"/>
              <w:lang w:val="en-US"/>
            </w:rPr>
          </w:pPr>
          <w:hyperlink w:anchor="_Toc117886777" w:history="1">
            <w:r w:rsidR="00921C9A" w:rsidRPr="00480D3B">
              <w:rPr>
                <w:rStyle w:val="Hyperlink"/>
                <w:noProof/>
                <w:lang w:val="fr-CA"/>
              </w:rPr>
              <w:t>Formation</w:t>
            </w:r>
            <w:r w:rsidR="00921C9A">
              <w:rPr>
                <w:noProof/>
                <w:webHidden/>
              </w:rPr>
              <w:tab/>
            </w:r>
            <w:r w:rsidR="00921C9A">
              <w:rPr>
                <w:noProof/>
                <w:webHidden/>
              </w:rPr>
              <w:fldChar w:fldCharType="begin"/>
            </w:r>
            <w:r w:rsidR="00921C9A">
              <w:rPr>
                <w:noProof/>
                <w:webHidden/>
              </w:rPr>
              <w:instrText xml:space="preserve"> PAGEREF _Toc117886777 \h </w:instrText>
            </w:r>
            <w:r w:rsidR="00921C9A">
              <w:rPr>
                <w:noProof/>
                <w:webHidden/>
              </w:rPr>
            </w:r>
            <w:r w:rsidR="00921C9A">
              <w:rPr>
                <w:noProof/>
                <w:webHidden/>
              </w:rPr>
              <w:fldChar w:fldCharType="separate"/>
            </w:r>
            <w:r w:rsidR="00921C9A">
              <w:rPr>
                <w:noProof/>
                <w:webHidden/>
              </w:rPr>
              <w:t>21</w:t>
            </w:r>
            <w:r w:rsidR="00921C9A">
              <w:rPr>
                <w:noProof/>
                <w:webHidden/>
              </w:rPr>
              <w:fldChar w:fldCharType="end"/>
            </w:r>
          </w:hyperlink>
        </w:p>
        <w:p w14:paraId="4B07B8F9" w14:textId="16B0C9E8" w:rsidR="00921C9A" w:rsidRDefault="00DF7755">
          <w:pPr>
            <w:pStyle w:val="TOC3"/>
            <w:rPr>
              <w:rFonts w:eastAsiaTheme="minorEastAsia"/>
              <w:noProof/>
              <w:sz w:val="22"/>
              <w:szCs w:val="22"/>
              <w:lang w:val="en-US"/>
            </w:rPr>
          </w:pPr>
          <w:hyperlink w:anchor="_Toc117886778" w:history="1">
            <w:r w:rsidR="00921C9A" w:rsidRPr="00480D3B">
              <w:rPr>
                <w:rStyle w:val="Hyperlink"/>
                <w:noProof/>
                <w:lang w:val="fr-CA"/>
              </w:rPr>
              <w:t>Trousse d’outils sur l’accessibilité pour les sénateurs</w:t>
            </w:r>
            <w:r w:rsidR="00921C9A">
              <w:rPr>
                <w:noProof/>
                <w:webHidden/>
              </w:rPr>
              <w:tab/>
            </w:r>
            <w:r w:rsidR="00921C9A">
              <w:rPr>
                <w:noProof/>
                <w:webHidden/>
              </w:rPr>
              <w:fldChar w:fldCharType="begin"/>
            </w:r>
            <w:r w:rsidR="00921C9A">
              <w:rPr>
                <w:noProof/>
                <w:webHidden/>
              </w:rPr>
              <w:instrText xml:space="preserve"> PAGEREF _Toc117886778 \h </w:instrText>
            </w:r>
            <w:r w:rsidR="00921C9A">
              <w:rPr>
                <w:noProof/>
                <w:webHidden/>
              </w:rPr>
            </w:r>
            <w:r w:rsidR="00921C9A">
              <w:rPr>
                <w:noProof/>
                <w:webHidden/>
              </w:rPr>
              <w:fldChar w:fldCharType="separate"/>
            </w:r>
            <w:r w:rsidR="00921C9A">
              <w:rPr>
                <w:noProof/>
                <w:webHidden/>
              </w:rPr>
              <w:t>22</w:t>
            </w:r>
            <w:r w:rsidR="00921C9A">
              <w:rPr>
                <w:noProof/>
                <w:webHidden/>
              </w:rPr>
              <w:fldChar w:fldCharType="end"/>
            </w:r>
          </w:hyperlink>
        </w:p>
        <w:p w14:paraId="024FF3B0" w14:textId="3835E650" w:rsidR="00921C9A" w:rsidRDefault="00DF7755">
          <w:pPr>
            <w:pStyle w:val="TOC3"/>
            <w:rPr>
              <w:rFonts w:eastAsiaTheme="minorEastAsia"/>
              <w:noProof/>
              <w:sz w:val="22"/>
              <w:szCs w:val="22"/>
              <w:lang w:val="en-US"/>
            </w:rPr>
          </w:pPr>
          <w:hyperlink w:anchor="_Toc117886779" w:history="1">
            <w:r w:rsidR="00921C9A" w:rsidRPr="00480D3B">
              <w:rPr>
                <w:rStyle w:val="Hyperlink"/>
                <w:noProof/>
                <w:lang w:val="fr-CA"/>
              </w:rPr>
              <w:t>Conformité aux futures normes</w:t>
            </w:r>
            <w:r w:rsidR="00921C9A">
              <w:rPr>
                <w:noProof/>
                <w:webHidden/>
              </w:rPr>
              <w:tab/>
            </w:r>
            <w:r w:rsidR="00921C9A">
              <w:rPr>
                <w:noProof/>
                <w:webHidden/>
              </w:rPr>
              <w:fldChar w:fldCharType="begin"/>
            </w:r>
            <w:r w:rsidR="00921C9A">
              <w:rPr>
                <w:noProof/>
                <w:webHidden/>
              </w:rPr>
              <w:instrText xml:space="preserve"> PAGEREF _Toc117886779 \h </w:instrText>
            </w:r>
            <w:r w:rsidR="00921C9A">
              <w:rPr>
                <w:noProof/>
                <w:webHidden/>
              </w:rPr>
            </w:r>
            <w:r w:rsidR="00921C9A">
              <w:rPr>
                <w:noProof/>
                <w:webHidden/>
              </w:rPr>
              <w:fldChar w:fldCharType="separate"/>
            </w:r>
            <w:r w:rsidR="00921C9A">
              <w:rPr>
                <w:noProof/>
                <w:webHidden/>
              </w:rPr>
              <w:t>23</w:t>
            </w:r>
            <w:r w:rsidR="00921C9A">
              <w:rPr>
                <w:noProof/>
                <w:webHidden/>
              </w:rPr>
              <w:fldChar w:fldCharType="end"/>
            </w:r>
          </w:hyperlink>
        </w:p>
        <w:p w14:paraId="50446880" w14:textId="2F70AC42" w:rsidR="00921C9A" w:rsidRDefault="00DF7755">
          <w:pPr>
            <w:pStyle w:val="TOC1"/>
            <w:rPr>
              <w:rFonts w:eastAsiaTheme="minorEastAsia"/>
              <w:b w:val="0"/>
              <w:noProof/>
              <w:color w:val="auto"/>
              <w:sz w:val="22"/>
              <w:szCs w:val="22"/>
              <w:lang w:val="en-US"/>
            </w:rPr>
          </w:pPr>
          <w:hyperlink w:anchor="_Toc117886780" w:history="1">
            <w:r w:rsidR="00921C9A" w:rsidRPr="00480D3B">
              <w:rPr>
                <w:rStyle w:val="Hyperlink"/>
                <w:noProof/>
              </w:rPr>
              <w:t>4</w:t>
            </w:r>
            <w:r w:rsidR="00921C9A">
              <w:rPr>
                <w:rFonts w:eastAsiaTheme="minorEastAsia"/>
                <w:b w:val="0"/>
                <w:noProof/>
                <w:color w:val="auto"/>
                <w:sz w:val="22"/>
                <w:szCs w:val="22"/>
                <w:lang w:val="en-US"/>
              </w:rPr>
              <w:tab/>
            </w:r>
            <w:r w:rsidR="00921C9A" w:rsidRPr="00480D3B">
              <w:rPr>
                <w:rStyle w:val="Hyperlink"/>
                <w:noProof/>
              </w:rPr>
              <w:t>Conclusion</w:t>
            </w:r>
            <w:r w:rsidR="00921C9A">
              <w:rPr>
                <w:noProof/>
                <w:webHidden/>
              </w:rPr>
              <w:tab/>
            </w:r>
            <w:r w:rsidR="00921C9A">
              <w:rPr>
                <w:noProof/>
                <w:webHidden/>
              </w:rPr>
              <w:fldChar w:fldCharType="begin"/>
            </w:r>
            <w:r w:rsidR="00921C9A">
              <w:rPr>
                <w:noProof/>
                <w:webHidden/>
              </w:rPr>
              <w:instrText xml:space="preserve"> PAGEREF _Toc117886780 \h </w:instrText>
            </w:r>
            <w:r w:rsidR="00921C9A">
              <w:rPr>
                <w:noProof/>
                <w:webHidden/>
              </w:rPr>
            </w:r>
            <w:r w:rsidR="00921C9A">
              <w:rPr>
                <w:noProof/>
                <w:webHidden/>
              </w:rPr>
              <w:fldChar w:fldCharType="separate"/>
            </w:r>
            <w:r w:rsidR="00921C9A">
              <w:rPr>
                <w:noProof/>
                <w:webHidden/>
              </w:rPr>
              <w:t>23</w:t>
            </w:r>
            <w:r w:rsidR="00921C9A">
              <w:rPr>
                <w:noProof/>
                <w:webHidden/>
              </w:rPr>
              <w:fldChar w:fldCharType="end"/>
            </w:r>
          </w:hyperlink>
        </w:p>
        <w:p w14:paraId="2FD94965" w14:textId="6B69CDDE" w:rsidR="007A3E2A" w:rsidRDefault="00624B8F" w:rsidP="007A3E2A">
          <w:pPr>
            <w:pStyle w:val="TOC1"/>
            <w:rPr>
              <w:noProof/>
              <w:lang w:val="fr-CA"/>
            </w:rPr>
          </w:pPr>
          <w:r w:rsidRPr="00020975">
            <w:rPr>
              <w:noProof/>
              <w:lang w:val="fr-CA"/>
            </w:rPr>
            <w:fldChar w:fldCharType="end"/>
          </w:r>
        </w:p>
      </w:sdtContent>
    </w:sdt>
    <w:p w14:paraId="49E5924A" w14:textId="77777777" w:rsidR="007A3E2A" w:rsidRPr="007A3E2A" w:rsidRDefault="007A3E2A" w:rsidP="007A3E2A">
      <w:pPr>
        <w:rPr>
          <w:lang w:val="fr-CA"/>
        </w:rPr>
      </w:pPr>
    </w:p>
    <w:p w14:paraId="70959C1A" w14:textId="77777777" w:rsidR="007A3E2A" w:rsidRPr="007A3E2A" w:rsidRDefault="007A3E2A" w:rsidP="007A3E2A">
      <w:pPr>
        <w:rPr>
          <w:lang w:val="fr-CA"/>
        </w:rPr>
      </w:pPr>
    </w:p>
    <w:p w14:paraId="2C248A82" w14:textId="77777777" w:rsidR="007A3E2A" w:rsidRDefault="007A3E2A" w:rsidP="007A3E2A">
      <w:pPr>
        <w:rPr>
          <w:b/>
          <w:noProof/>
          <w:color w:val="6A0C22"/>
          <w:lang w:val="fr-CA"/>
        </w:rPr>
      </w:pPr>
    </w:p>
    <w:p w14:paraId="0AA503ED" w14:textId="77777777" w:rsidR="007A3E2A" w:rsidRDefault="007A3E2A" w:rsidP="007A3E2A">
      <w:pPr>
        <w:tabs>
          <w:tab w:val="left" w:pos="2588"/>
        </w:tabs>
        <w:rPr>
          <w:lang w:val="fr-CA"/>
        </w:rPr>
      </w:pPr>
      <w:r>
        <w:rPr>
          <w:lang w:val="fr-CA"/>
        </w:rPr>
        <w:tab/>
      </w:r>
    </w:p>
    <w:p w14:paraId="6D47A5F8" w14:textId="3B3A68CF" w:rsidR="001F7D21" w:rsidRDefault="001F7D21" w:rsidP="001F7D21">
      <w:pPr>
        <w:tabs>
          <w:tab w:val="left" w:pos="5955"/>
        </w:tabs>
        <w:rPr>
          <w:lang w:val="fr-CA"/>
        </w:rPr>
      </w:pPr>
      <w:r>
        <w:rPr>
          <w:lang w:val="fr-CA"/>
        </w:rPr>
        <w:tab/>
      </w:r>
    </w:p>
    <w:p w14:paraId="2B3FBA7E" w14:textId="70B718AC" w:rsidR="001F7D21" w:rsidRPr="001F7D21" w:rsidRDefault="001F7D21" w:rsidP="001F7D21">
      <w:pPr>
        <w:tabs>
          <w:tab w:val="left" w:pos="5955"/>
        </w:tabs>
        <w:rPr>
          <w:lang w:val="fr-CA"/>
        </w:rPr>
        <w:sectPr w:rsidR="001F7D21" w:rsidRPr="001F7D21">
          <w:headerReference w:type="default" r:id="rId9"/>
          <w:footerReference w:type="default" r:id="rId10"/>
          <w:pgSz w:w="12240" w:h="15840"/>
          <w:pgMar w:top="1440" w:right="1440" w:bottom="1440" w:left="1440" w:header="708" w:footer="708" w:gutter="0"/>
          <w:cols w:space="708"/>
          <w:docGrid w:linePitch="360"/>
        </w:sectPr>
      </w:pPr>
      <w:r>
        <w:rPr>
          <w:lang w:val="fr-CA"/>
        </w:rPr>
        <w:tab/>
      </w:r>
    </w:p>
    <w:p w14:paraId="2E0E4FE2" w14:textId="56693E76" w:rsidR="000C77B0" w:rsidRPr="00020975" w:rsidRDefault="000C77B0" w:rsidP="00911C8D">
      <w:pPr>
        <w:pStyle w:val="Heading1"/>
        <w:rPr>
          <w:lang w:val="fr-CA"/>
        </w:rPr>
      </w:pPr>
      <w:bookmarkStart w:id="1" w:name="_Toc117886737"/>
      <w:r w:rsidRPr="00020975">
        <w:rPr>
          <w:lang w:val="fr-CA"/>
        </w:rPr>
        <w:lastRenderedPageBreak/>
        <w:t>G</w:t>
      </w:r>
      <w:r w:rsidR="00020975">
        <w:rPr>
          <w:lang w:val="fr-CA"/>
        </w:rPr>
        <w:t>énéralités</w:t>
      </w:r>
      <w:bookmarkEnd w:id="1"/>
      <w:r w:rsidRPr="00020975">
        <w:rPr>
          <w:lang w:val="fr-CA"/>
        </w:rPr>
        <w:t xml:space="preserve"> </w:t>
      </w:r>
    </w:p>
    <w:p w14:paraId="1D4E37E3" w14:textId="39F4D831" w:rsidR="00B568C1" w:rsidRPr="00020975" w:rsidRDefault="00016A6A" w:rsidP="00911C8D">
      <w:pPr>
        <w:pStyle w:val="Heading2"/>
        <w:rPr>
          <w:lang w:val="fr-CA"/>
        </w:rPr>
      </w:pPr>
      <w:bookmarkStart w:id="2" w:name="_Toc117886738"/>
      <w:r>
        <w:rPr>
          <w:lang w:val="fr-CA"/>
        </w:rPr>
        <w:t>Déclaration d’engagement</w:t>
      </w:r>
      <w:bookmarkEnd w:id="2"/>
      <w:r w:rsidR="00B568C1" w:rsidRPr="00020975">
        <w:rPr>
          <w:lang w:val="fr-CA"/>
        </w:rPr>
        <w:t xml:space="preserve"> </w:t>
      </w:r>
    </w:p>
    <w:p w14:paraId="5CB632EA" w14:textId="3C6BE7F4" w:rsidR="00016A6A" w:rsidRPr="001F7D21" w:rsidRDefault="00016A6A" w:rsidP="001A5CEC">
      <w:pPr>
        <w:rPr>
          <w:lang w:val="fr-CA"/>
        </w:rPr>
      </w:pPr>
      <w:r w:rsidRPr="001F7D21">
        <w:rPr>
          <w:lang w:val="fr-CA"/>
        </w:rPr>
        <w:t xml:space="preserve">Le Sénat </w:t>
      </w:r>
      <w:r w:rsidR="00102562" w:rsidRPr="001F7D21">
        <w:rPr>
          <w:lang w:val="fr-CA"/>
        </w:rPr>
        <w:t xml:space="preserve">s’engage à représenter la diversité du Canada et à </w:t>
      </w:r>
      <w:r w:rsidRPr="001F7D21">
        <w:rPr>
          <w:lang w:val="fr-CA"/>
        </w:rPr>
        <w:t>donne</w:t>
      </w:r>
      <w:r w:rsidR="00102562" w:rsidRPr="001F7D21">
        <w:rPr>
          <w:lang w:val="fr-CA"/>
        </w:rPr>
        <w:t>r</w:t>
      </w:r>
      <w:r w:rsidRPr="001F7D21">
        <w:rPr>
          <w:lang w:val="fr-CA"/>
        </w:rPr>
        <w:t xml:space="preserve"> </w:t>
      </w:r>
      <w:r w:rsidR="00F16368" w:rsidRPr="001F7D21">
        <w:rPr>
          <w:lang w:val="fr-CA"/>
        </w:rPr>
        <w:t>une voix</w:t>
      </w:r>
      <w:r w:rsidRPr="001F7D21">
        <w:rPr>
          <w:lang w:val="fr-CA"/>
        </w:rPr>
        <w:t xml:space="preserve"> à de nombreux groupes sous-représentés, y compris aux </w:t>
      </w:r>
      <w:r w:rsidR="0031675D" w:rsidRPr="001F7D21">
        <w:rPr>
          <w:lang w:val="fr-CA"/>
        </w:rPr>
        <w:t xml:space="preserve">personnes </w:t>
      </w:r>
      <w:r w:rsidR="00AD6B7C" w:rsidRPr="001F7D21">
        <w:rPr>
          <w:lang w:val="fr-CA"/>
        </w:rPr>
        <w:t>en situation de handicap</w:t>
      </w:r>
      <w:r w:rsidR="00102562" w:rsidRPr="001F7D21">
        <w:rPr>
          <w:lang w:val="fr-CA"/>
        </w:rPr>
        <w:t>. Pour que tous les Canadiens puissent participer pleinement à leurs institutions démocratiques, nous nous engageons à rendre accessibles tous les aspects des activités du Sénat.</w:t>
      </w:r>
      <w:r w:rsidR="00263C0F" w:rsidRPr="001F7D21">
        <w:rPr>
          <w:lang w:val="fr-CA"/>
        </w:rPr>
        <w:t xml:space="preserve"> L</w:t>
      </w:r>
      <w:r w:rsidR="00F976EE" w:rsidRPr="001F7D21">
        <w:rPr>
          <w:lang w:val="fr-CA"/>
        </w:rPr>
        <w:t>’</w:t>
      </w:r>
      <w:r w:rsidR="00263C0F" w:rsidRPr="001F7D21">
        <w:rPr>
          <w:lang w:val="fr-CA"/>
        </w:rPr>
        <w:t>accessibilité est un processus continu, et nous nous efforçons de l</w:t>
      </w:r>
      <w:r w:rsidR="00F976EE" w:rsidRPr="001F7D21">
        <w:rPr>
          <w:lang w:val="fr-CA"/>
        </w:rPr>
        <w:t>’</w:t>
      </w:r>
      <w:r w:rsidR="00263C0F" w:rsidRPr="001F7D21">
        <w:rPr>
          <w:lang w:val="fr-CA"/>
        </w:rPr>
        <w:t xml:space="preserve">améliorer en permanence en restant à l’écoute des </w:t>
      </w:r>
      <w:r w:rsidR="0031675D" w:rsidRPr="001F7D21">
        <w:rPr>
          <w:lang w:val="fr-CA"/>
        </w:rPr>
        <w:t xml:space="preserve">personnes </w:t>
      </w:r>
      <w:r w:rsidR="00AD6B7C" w:rsidRPr="001F7D21">
        <w:rPr>
          <w:lang w:val="fr-CA"/>
        </w:rPr>
        <w:t>en situation de handicap</w:t>
      </w:r>
      <w:r w:rsidR="00263C0F" w:rsidRPr="001F7D21">
        <w:rPr>
          <w:lang w:val="fr-CA"/>
        </w:rPr>
        <w:t>.</w:t>
      </w:r>
    </w:p>
    <w:p w14:paraId="6C58D1EC" w14:textId="2A474D25" w:rsidR="009278DE" w:rsidRPr="00020975" w:rsidRDefault="009278DE" w:rsidP="00911C8D">
      <w:pPr>
        <w:pStyle w:val="Heading2"/>
        <w:rPr>
          <w:lang w:val="fr-CA"/>
        </w:rPr>
      </w:pPr>
      <w:bookmarkStart w:id="3" w:name="_Toc117886739"/>
      <w:r w:rsidRPr="00020975">
        <w:rPr>
          <w:lang w:val="fr-CA"/>
        </w:rPr>
        <w:t>Co</w:t>
      </w:r>
      <w:r w:rsidR="00263C0F">
        <w:rPr>
          <w:lang w:val="fr-CA"/>
        </w:rPr>
        <w:t>ordonnées et processus de rétroaction</w:t>
      </w:r>
      <w:bookmarkEnd w:id="3"/>
      <w:r w:rsidR="00D81AF9" w:rsidRPr="00020975">
        <w:rPr>
          <w:lang w:val="fr-CA"/>
        </w:rPr>
        <w:t xml:space="preserve"> </w:t>
      </w:r>
    </w:p>
    <w:p w14:paraId="49938DB7" w14:textId="161C1C32" w:rsidR="00263C0F" w:rsidRDefault="00263C0F" w:rsidP="001A5CEC">
      <w:pPr>
        <w:rPr>
          <w:lang w:val="fr-CA"/>
        </w:rPr>
      </w:pPr>
      <w:r w:rsidRPr="00263C0F">
        <w:rPr>
          <w:lang w:val="fr-CA"/>
        </w:rPr>
        <w:t>Le Sénat est heureux d</w:t>
      </w:r>
      <w:r>
        <w:rPr>
          <w:lang w:val="fr-CA"/>
        </w:rPr>
        <w:t>e recueillir des commentaires</w:t>
      </w:r>
      <w:r w:rsidR="00BE74F0">
        <w:rPr>
          <w:lang w:val="fr-CA"/>
        </w:rPr>
        <w:t> —</w:t>
      </w:r>
      <w:r w:rsidR="00F9541A">
        <w:rPr>
          <w:lang w:val="fr-CA"/>
        </w:rPr>
        <w:t> </w:t>
      </w:r>
      <w:r>
        <w:rPr>
          <w:lang w:val="fr-CA"/>
        </w:rPr>
        <w:t>y compris les commentaires anonymes</w:t>
      </w:r>
      <w:r w:rsidR="00BE74F0">
        <w:rPr>
          <w:lang w:val="fr-CA"/>
        </w:rPr>
        <w:t> —</w:t>
      </w:r>
      <w:r>
        <w:rPr>
          <w:lang w:val="fr-CA"/>
        </w:rPr>
        <w:t xml:space="preserve"> de la part des sénateurs, des employés et des membres du public</w:t>
      </w:r>
      <w:r w:rsidR="0021395C">
        <w:rPr>
          <w:lang w:val="fr-CA"/>
        </w:rPr>
        <w:t xml:space="preserve"> </w:t>
      </w:r>
      <w:r>
        <w:rPr>
          <w:lang w:val="fr-CA"/>
        </w:rPr>
        <w:t>concern</w:t>
      </w:r>
      <w:r w:rsidR="0021395C">
        <w:rPr>
          <w:lang w:val="fr-CA"/>
        </w:rPr>
        <w:t>ant</w:t>
      </w:r>
      <w:r>
        <w:rPr>
          <w:lang w:val="fr-CA"/>
        </w:rPr>
        <w:t xml:space="preserve"> l’accessibilité au Sénat et le plan proposé ici. Nous nous engageons à étudier les commentaires que nous recevons en toute bonne foi et à prendre les mesures qui s’imposent pour remédier aux obstacles à l’accessibilité qui sont indiqués dans ces commentaires.</w:t>
      </w:r>
    </w:p>
    <w:p w14:paraId="7D5475D3" w14:textId="562859FD" w:rsidR="00263C0F" w:rsidRPr="00263C0F" w:rsidRDefault="00263C0F" w:rsidP="001A5CEC">
      <w:pPr>
        <w:rPr>
          <w:lang w:val="fr-CA"/>
        </w:rPr>
      </w:pPr>
      <w:r>
        <w:rPr>
          <w:lang w:val="fr-CA"/>
        </w:rPr>
        <w:t xml:space="preserve">Vous pouvez envoyer vos commentaires sur l’accessibilité au Sénat ou sur ce plan </w:t>
      </w:r>
      <w:r w:rsidR="00472157">
        <w:rPr>
          <w:lang w:val="fr-CA"/>
        </w:rPr>
        <w:t xml:space="preserve">à : </w:t>
      </w:r>
    </w:p>
    <w:p w14:paraId="48F62804" w14:textId="12C1E759" w:rsidR="00D81123" w:rsidRPr="001F2256" w:rsidRDefault="001F2256" w:rsidP="001A5CEC">
      <w:pPr>
        <w:rPr>
          <w:lang w:val="fr-CA"/>
        </w:rPr>
      </w:pPr>
      <w:r w:rsidRPr="001F2256">
        <w:rPr>
          <w:lang w:val="fr-CA"/>
        </w:rPr>
        <w:t>L’agent à l’accessibilité du Sénat</w:t>
      </w:r>
      <w:r w:rsidR="004A4195" w:rsidRPr="001F2256">
        <w:rPr>
          <w:lang w:val="fr-CA"/>
        </w:rPr>
        <w:t xml:space="preserve"> </w:t>
      </w:r>
      <w:r w:rsidR="00472157" w:rsidRPr="001F2256">
        <w:rPr>
          <w:lang w:val="fr-CA"/>
        </w:rPr>
        <w:t>à</w:t>
      </w:r>
      <w:r w:rsidR="006741BB" w:rsidRPr="001F2256">
        <w:rPr>
          <w:lang w:val="fr-CA"/>
        </w:rPr>
        <w:t xml:space="preserve"> </w:t>
      </w:r>
      <w:hyperlink r:id="rId11" w:history="1">
        <w:r w:rsidR="00046439" w:rsidRPr="001F2256">
          <w:rPr>
            <w:rStyle w:val="Hyperlink"/>
            <w:lang w:val="fr-CA"/>
          </w:rPr>
          <w:t>accessible@sen.parl.gc.ca</w:t>
        </w:r>
      </w:hyperlink>
      <w:r w:rsidR="00046439" w:rsidRPr="001F2256">
        <w:rPr>
          <w:lang w:val="fr-CA"/>
        </w:rPr>
        <w:t xml:space="preserve"> ou au 1-888-810-9470</w:t>
      </w:r>
      <w:r>
        <w:rPr>
          <w:lang w:val="fr-CA"/>
        </w:rPr>
        <w:t>.</w:t>
      </w:r>
      <w:r w:rsidR="006741BB" w:rsidRPr="001F2256">
        <w:rPr>
          <w:lang w:val="fr-CA"/>
        </w:rPr>
        <w:t xml:space="preserve"> </w:t>
      </w:r>
    </w:p>
    <w:p w14:paraId="6B768F50" w14:textId="516AB232" w:rsidR="004A4195" w:rsidRPr="00381B4F" w:rsidRDefault="00472157" w:rsidP="001A5CEC">
      <w:pPr>
        <w:rPr>
          <w:lang w:val="fr-CA"/>
        </w:rPr>
      </w:pPr>
      <w:r w:rsidRPr="00381B4F">
        <w:rPr>
          <w:lang w:val="fr-CA"/>
        </w:rPr>
        <w:t>Vous pouvez aussi les envoyer par la poste à l’adresse suivante</w:t>
      </w:r>
      <w:r w:rsidR="00BE74F0" w:rsidRPr="00381B4F">
        <w:rPr>
          <w:lang w:val="fr-CA"/>
        </w:rPr>
        <w:t> </w:t>
      </w:r>
      <w:r w:rsidR="0093199D" w:rsidRPr="00381B4F">
        <w:rPr>
          <w:lang w:val="fr-CA"/>
        </w:rPr>
        <w:t>:</w:t>
      </w:r>
    </w:p>
    <w:p w14:paraId="4CADE70D" w14:textId="77777777" w:rsidR="00A662F4" w:rsidRDefault="001F2256" w:rsidP="001F2256">
      <w:pPr>
        <w:spacing w:before="0"/>
        <w:ind w:left="720"/>
        <w:rPr>
          <w:rFonts w:cstheme="minorHAnsi"/>
          <w:lang w:val="fr-CA"/>
        </w:rPr>
      </w:pPr>
      <w:bookmarkStart w:id="4" w:name="_Hlk119680396"/>
      <w:r>
        <w:rPr>
          <w:rFonts w:cstheme="minorHAnsi"/>
          <w:lang w:val="fr-CA"/>
        </w:rPr>
        <w:t xml:space="preserve">L’agent à l’accessibilité </w:t>
      </w:r>
    </w:p>
    <w:p w14:paraId="0B5725AA" w14:textId="736033BE" w:rsidR="007558DF" w:rsidRPr="007558DF" w:rsidRDefault="007558DF" w:rsidP="001F2256">
      <w:pPr>
        <w:spacing w:before="0"/>
        <w:ind w:left="720"/>
        <w:rPr>
          <w:rFonts w:cstheme="minorHAnsi"/>
          <w:color w:val="212529"/>
          <w:szCs w:val="26"/>
          <w:shd w:val="clear" w:color="auto" w:fill="FFFFFF"/>
          <w:lang w:val="fr-CA"/>
        </w:rPr>
      </w:pPr>
      <w:r w:rsidRPr="007558DF">
        <w:rPr>
          <w:rFonts w:cstheme="minorHAnsi"/>
          <w:color w:val="212529"/>
          <w:szCs w:val="26"/>
          <w:shd w:val="clear" w:color="auto" w:fill="FFFFFF"/>
          <w:lang w:val="fr-CA"/>
        </w:rPr>
        <w:t>Le Sénat du Canada</w:t>
      </w:r>
    </w:p>
    <w:p w14:paraId="2B7FF4BB" w14:textId="395EF7DA" w:rsidR="001F2256" w:rsidRPr="003D5AE2" w:rsidRDefault="001F2256" w:rsidP="001F2256">
      <w:pPr>
        <w:spacing w:before="0"/>
        <w:ind w:left="720"/>
        <w:rPr>
          <w:rFonts w:cstheme="minorHAnsi"/>
          <w:lang w:val="en-US"/>
        </w:rPr>
      </w:pPr>
      <w:r w:rsidRPr="003D5AE2">
        <w:rPr>
          <w:rFonts w:cstheme="minorHAnsi"/>
          <w:lang w:val="en-US"/>
        </w:rPr>
        <w:t>56, rue Sparks, 4</w:t>
      </w:r>
      <w:r w:rsidRPr="003D5AE2">
        <w:rPr>
          <w:rFonts w:cstheme="minorHAnsi"/>
          <w:vertAlign w:val="superscript"/>
          <w:lang w:val="en-US"/>
        </w:rPr>
        <w:t>e </w:t>
      </w:r>
      <w:r w:rsidRPr="003D5AE2">
        <w:rPr>
          <w:rFonts w:cstheme="minorHAnsi"/>
          <w:lang w:val="en-US"/>
        </w:rPr>
        <w:t>étage</w:t>
      </w:r>
    </w:p>
    <w:p w14:paraId="66DC6101" w14:textId="77777777" w:rsidR="001F2256" w:rsidRPr="003D5AE2" w:rsidRDefault="001F2256" w:rsidP="001F2256">
      <w:pPr>
        <w:spacing w:before="0"/>
        <w:ind w:left="720"/>
        <w:rPr>
          <w:rFonts w:cstheme="minorHAnsi"/>
          <w:lang w:val="en-US"/>
        </w:rPr>
      </w:pPr>
      <w:r w:rsidRPr="003D5AE2">
        <w:rPr>
          <w:rFonts w:cstheme="minorHAnsi"/>
          <w:lang w:val="en-US"/>
        </w:rPr>
        <w:t>Ottawa (Ontario)</w:t>
      </w:r>
    </w:p>
    <w:p w14:paraId="2F82509C" w14:textId="4A8CF8C5" w:rsidR="001F2256" w:rsidRPr="006A1633" w:rsidRDefault="001F2256" w:rsidP="001F2256">
      <w:pPr>
        <w:spacing w:before="0"/>
        <w:ind w:left="720"/>
        <w:rPr>
          <w:rFonts w:cstheme="minorHAnsi"/>
          <w:lang w:val="fr-CA"/>
        </w:rPr>
      </w:pPr>
      <w:bookmarkStart w:id="5" w:name="_Hlk119679752"/>
      <w:r w:rsidRPr="006A1633">
        <w:rPr>
          <w:rFonts w:cstheme="minorHAnsi"/>
          <w:lang w:val="fr-CA"/>
        </w:rPr>
        <w:t>K1</w:t>
      </w:r>
      <w:r w:rsidR="00AA1FC0">
        <w:rPr>
          <w:rFonts w:cstheme="minorHAnsi"/>
          <w:lang w:val="fr-CA"/>
        </w:rPr>
        <w:t>A</w:t>
      </w:r>
      <w:r w:rsidRPr="006A1633">
        <w:rPr>
          <w:rFonts w:cstheme="minorHAnsi"/>
          <w:lang w:val="fr-CA"/>
        </w:rPr>
        <w:t xml:space="preserve"> </w:t>
      </w:r>
      <w:r w:rsidR="00AA1FC0">
        <w:rPr>
          <w:rFonts w:cstheme="minorHAnsi"/>
          <w:lang w:val="fr-CA"/>
        </w:rPr>
        <w:t>0A4</w:t>
      </w:r>
    </w:p>
    <w:bookmarkEnd w:id="5"/>
    <w:bookmarkEnd w:id="4"/>
    <w:p w14:paraId="0863A934" w14:textId="5AD63ACB" w:rsidR="004A4195" w:rsidRPr="001D6537" w:rsidRDefault="004A4195" w:rsidP="001A5CEC">
      <w:pPr>
        <w:rPr>
          <w:lang w:val="fr-CA"/>
        </w:rPr>
      </w:pPr>
    </w:p>
    <w:p w14:paraId="26F147E8" w14:textId="7893315E" w:rsidR="00292083" w:rsidRPr="00D62D55" w:rsidRDefault="00D62D55" w:rsidP="001A5CEC">
      <w:pPr>
        <w:rPr>
          <w:lang w:val="fr-CA"/>
        </w:rPr>
      </w:pPr>
      <w:r w:rsidRPr="00D62D55">
        <w:rPr>
          <w:lang w:val="fr-CA"/>
        </w:rPr>
        <w:lastRenderedPageBreak/>
        <w:t xml:space="preserve">Vous trouverez aussi des renseignements sur les modalités pour </w:t>
      </w:r>
      <w:hyperlink r:id="rId12" w:history="1">
        <w:r w:rsidRPr="00AA1FC0">
          <w:rPr>
            <w:rStyle w:val="Hyperlink"/>
            <w:lang w:val="fr-CA"/>
          </w:rPr>
          <w:t>envoyer des commentaires au Sénat</w:t>
        </w:r>
      </w:hyperlink>
      <w:r w:rsidRPr="00D62D55">
        <w:rPr>
          <w:lang w:val="fr-CA"/>
        </w:rPr>
        <w:t xml:space="preserve"> sur notre site Web public</w:t>
      </w:r>
      <w:r w:rsidR="00AA1FC0">
        <w:rPr>
          <w:lang w:val="fr-CA"/>
        </w:rPr>
        <w:t>.</w:t>
      </w:r>
      <w:r w:rsidRPr="009B0752">
        <w:rPr>
          <w:lang w:val="fr-CA"/>
        </w:rPr>
        <w:t xml:space="preserve"> </w:t>
      </w:r>
    </w:p>
    <w:p w14:paraId="09CAE4F1" w14:textId="6B346856" w:rsidR="00E73E24" w:rsidRPr="00D62D55" w:rsidRDefault="00D62D55" w:rsidP="001A5CEC">
      <w:pPr>
        <w:rPr>
          <w:lang w:val="fr-CA"/>
        </w:rPr>
      </w:pPr>
      <w:r w:rsidRPr="00D62D55">
        <w:rPr>
          <w:lang w:val="fr-CA"/>
        </w:rPr>
        <w:t xml:space="preserve">Vous pouvez demander ce plan ainsi qu’une description de notre processus de </w:t>
      </w:r>
      <w:r w:rsidR="00AC2852" w:rsidRPr="00D62D55">
        <w:rPr>
          <w:lang w:val="fr-CA"/>
        </w:rPr>
        <w:t>rétroaction</w:t>
      </w:r>
      <w:r w:rsidRPr="00D62D55">
        <w:rPr>
          <w:lang w:val="fr-CA"/>
        </w:rPr>
        <w:t xml:space="preserve"> dans d’autres formats en contactant</w:t>
      </w:r>
      <w:r w:rsidR="00292083" w:rsidRPr="00D62D55">
        <w:rPr>
          <w:lang w:val="fr-CA"/>
        </w:rPr>
        <w:t xml:space="preserve"> </w:t>
      </w:r>
      <w:r w:rsidR="001F2256">
        <w:rPr>
          <w:lang w:val="fr-CA"/>
        </w:rPr>
        <w:t>l</w:t>
      </w:r>
      <w:r w:rsidR="001F2256" w:rsidRPr="001F2256">
        <w:rPr>
          <w:lang w:val="fr-CA"/>
        </w:rPr>
        <w:t xml:space="preserve">’agent à l’accessibilité du Sénat à </w:t>
      </w:r>
      <w:hyperlink r:id="rId13" w:history="1">
        <w:r w:rsidR="001F2256" w:rsidRPr="001F2256">
          <w:rPr>
            <w:rStyle w:val="Hyperlink"/>
            <w:lang w:val="fr-CA"/>
          </w:rPr>
          <w:t>accessible@sen.parl.gc.ca</w:t>
        </w:r>
      </w:hyperlink>
      <w:r w:rsidR="001F2256" w:rsidRPr="001F2256">
        <w:rPr>
          <w:lang w:val="fr-CA"/>
        </w:rPr>
        <w:t xml:space="preserve"> ou au 1-888-810-9470</w:t>
      </w:r>
      <w:r w:rsidR="001F2256">
        <w:rPr>
          <w:lang w:val="fr-CA"/>
        </w:rPr>
        <w:t>.</w:t>
      </w:r>
    </w:p>
    <w:p w14:paraId="1A4CA06E" w14:textId="3C5064F7" w:rsidR="009B0752" w:rsidRPr="009B0752" w:rsidRDefault="00282B60" w:rsidP="009B0752">
      <w:pPr>
        <w:rPr>
          <w:lang w:val="fr-CA"/>
        </w:rPr>
      </w:pPr>
      <w:r w:rsidRPr="00DC6A95">
        <w:rPr>
          <w:lang w:val="fr-CA"/>
        </w:rPr>
        <w:t xml:space="preserve">Vous pouvez </w:t>
      </w:r>
      <w:r w:rsidR="00102562">
        <w:rPr>
          <w:lang w:val="fr-CA"/>
        </w:rPr>
        <w:t xml:space="preserve">accéder à </w:t>
      </w:r>
      <w:hyperlink r:id="rId14" w:history="1">
        <w:r w:rsidR="00DC6A95" w:rsidRPr="00AA1FC0">
          <w:rPr>
            <w:rStyle w:val="Hyperlink"/>
            <w:lang w:val="fr-CA"/>
          </w:rPr>
          <w:t>la version électronique</w:t>
        </w:r>
      </w:hyperlink>
      <w:r w:rsidR="00BE74F0">
        <w:rPr>
          <w:lang w:val="fr-CA"/>
        </w:rPr>
        <w:t> —</w:t>
      </w:r>
      <w:r w:rsidR="00F9541A">
        <w:rPr>
          <w:lang w:val="fr-CA"/>
        </w:rPr>
        <w:t> </w:t>
      </w:r>
      <w:r w:rsidR="00DC6A95" w:rsidRPr="00DC6A95">
        <w:rPr>
          <w:lang w:val="fr-CA"/>
        </w:rPr>
        <w:t>compatible avec la technologie d’assistance</w:t>
      </w:r>
      <w:r w:rsidR="00BE74F0">
        <w:rPr>
          <w:lang w:val="fr-CA"/>
        </w:rPr>
        <w:t> —</w:t>
      </w:r>
      <w:r w:rsidR="00DC6A95" w:rsidRPr="00DC6A95">
        <w:rPr>
          <w:lang w:val="fr-CA"/>
        </w:rPr>
        <w:t xml:space="preserve"> de ce plan</w:t>
      </w:r>
      <w:r w:rsidR="0021395C">
        <w:rPr>
          <w:lang w:val="fr-CA"/>
        </w:rPr>
        <w:t>,</w:t>
      </w:r>
      <w:r w:rsidRPr="00DC6A95">
        <w:rPr>
          <w:lang w:val="fr-CA"/>
        </w:rPr>
        <w:t xml:space="preserve"> directement depuis notre site Web</w:t>
      </w:r>
      <w:r w:rsidR="00AA1FC0">
        <w:rPr>
          <w:lang w:val="fr-CA"/>
        </w:rPr>
        <w:t>.</w:t>
      </w:r>
      <w:r w:rsidR="00DC6A95" w:rsidRPr="009B0752">
        <w:rPr>
          <w:lang w:val="fr-CA"/>
        </w:rPr>
        <w:t xml:space="preserve"> </w:t>
      </w:r>
    </w:p>
    <w:p w14:paraId="67F083B4" w14:textId="740AEDA9" w:rsidR="009B0752" w:rsidRDefault="00102562" w:rsidP="009B0752">
      <w:pPr>
        <w:rPr>
          <w:lang w:val="fr-CA"/>
        </w:rPr>
      </w:pPr>
      <w:r>
        <w:rPr>
          <w:lang w:val="fr-CA"/>
        </w:rPr>
        <w:t xml:space="preserve">Vous pouvez aussi accéder à </w:t>
      </w:r>
      <w:hyperlink r:id="rId15" w:history="1">
        <w:r w:rsidRPr="00AA1FC0">
          <w:rPr>
            <w:rStyle w:val="Hyperlink"/>
            <w:lang w:val="fr-CA"/>
          </w:rPr>
          <w:t>une version audio</w:t>
        </w:r>
      </w:hyperlink>
      <w:r>
        <w:rPr>
          <w:lang w:val="fr-CA"/>
        </w:rPr>
        <w:t xml:space="preserve"> </w:t>
      </w:r>
      <w:r w:rsidRPr="00DD33CA">
        <w:rPr>
          <w:lang w:val="fr-CA"/>
        </w:rPr>
        <w:t>(enregistrement d’une personne lisant le texte à voix haute)</w:t>
      </w:r>
      <w:r w:rsidR="009B0752" w:rsidRPr="009B0752">
        <w:rPr>
          <w:lang w:val="fr-CA"/>
        </w:rPr>
        <w:t>.</w:t>
      </w:r>
    </w:p>
    <w:p w14:paraId="2A635ECA" w14:textId="77777777" w:rsidR="00DF7755" w:rsidRPr="00DF7755" w:rsidRDefault="00DF7755" w:rsidP="00DF7755">
      <w:pPr>
        <w:rPr>
          <w:lang w:val="fr-CA"/>
        </w:rPr>
      </w:pPr>
      <w:r w:rsidRPr="00DF7755">
        <w:rPr>
          <w:lang w:val="fr-CA"/>
        </w:rPr>
        <w:t>Conformément au Règlement canadien sur l’accessibilité, le Sénat fournira, dans les 15 jours suivant la réception d’une demande, les formats alternatifs suivants :</w:t>
      </w:r>
    </w:p>
    <w:p w14:paraId="41382B72" w14:textId="77777777" w:rsidR="00DF7755" w:rsidRPr="00DF7755" w:rsidRDefault="00DF7755" w:rsidP="00DF7755">
      <w:pPr>
        <w:rPr>
          <w:lang w:val="fr-CA"/>
        </w:rPr>
      </w:pPr>
      <w:r w:rsidRPr="00DF7755">
        <w:rPr>
          <w:lang w:val="fr-CA"/>
        </w:rPr>
        <w:t>•</w:t>
      </w:r>
      <w:r w:rsidRPr="00DF7755">
        <w:rPr>
          <w:lang w:val="fr-CA"/>
        </w:rPr>
        <w:tab/>
        <w:t>imprimé</w:t>
      </w:r>
    </w:p>
    <w:p w14:paraId="22E799DE" w14:textId="77777777" w:rsidR="00DF7755" w:rsidRPr="00DF7755" w:rsidRDefault="00DF7755" w:rsidP="00DF7755">
      <w:pPr>
        <w:rPr>
          <w:lang w:val="fr-CA"/>
        </w:rPr>
      </w:pPr>
      <w:r w:rsidRPr="00DF7755">
        <w:rPr>
          <w:lang w:val="fr-CA"/>
        </w:rPr>
        <w:t>•</w:t>
      </w:r>
      <w:r w:rsidRPr="00DF7755">
        <w:rPr>
          <w:lang w:val="fr-CA"/>
        </w:rPr>
        <w:tab/>
        <w:t>imprimé en gros caractères (taille de la police augmentée).</w:t>
      </w:r>
    </w:p>
    <w:p w14:paraId="624C70F1" w14:textId="2A06B13E" w:rsidR="00DF7755" w:rsidRPr="009B0752" w:rsidRDefault="00DF7755" w:rsidP="00DF7755">
      <w:pPr>
        <w:rPr>
          <w:highlight w:val="yellow"/>
          <w:lang w:val="fr-CA"/>
        </w:rPr>
      </w:pPr>
      <w:r w:rsidRPr="00DF7755">
        <w:rPr>
          <w:lang w:val="fr-CA"/>
        </w:rPr>
        <w:t>Le Sénat fournira aussi, dans les 45 jours suivant la réception d’une demande, certains documents en braille. Ce délai est fixé par le Règlement canadien sur l’accessibilité et tient compte du temps nécessaire à la production et à la distribution de la version en braille. Si vous avez besoin de cette version de manière urgente, le Sénat fera tout en son pouvoir pour vous l’envoyer plus tôt.</w:t>
      </w:r>
    </w:p>
    <w:p w14:paraId="0213B230" w14:textId="7EE6CF4C" w:rsidR="001A3172" w:rsidRPr="00020975" w:rsidRDefault="001A3172" w:rsidP="00911C8D">
      <w:pPr>
        <w:pStyle w:val="Heading2"/>
        <w:rPr>
          <w:lang w:val="fr-CA"/>
        </w:rPr>
      </w:pPr>
      <w:bookmarkStart w:id="6" w:name="_Toc117886740"/>
      <w:r w:rsidRPr="00020975">
        <w:rPr>
          <w:lang w:val="fr-CA"/>
        </w:rPr>
        <w:t>D</w:t>
      </w:r>
      <w:r w:rsidR="00AF6F3C">
        <w:rPr>
          <w:lang w:val="fr-CA"/>
        </w:rPr>
        <w:t>é</w:t>
      </w:r>
      <w:r w:rsidRPr="00020975">
        <w:rPr>
          <w:lang w:val="fr-CA"/>
        </w:rPr>
        <w:t>finitions</w:t>
      </w:r>
      <w:bookmarkEnd w:id="6"/>
      <w:r w:rsidRPr="00020975">
        <w:rPr>
          <w:lang w:val="fr-CA"/>
        </w:rPr>
        <w:t xml:space="preserve"> </w:t>
      </w:r>
    </w:p>
    <w:p w14:paraId="38B8ADA5" w14:textId="57EB97FE" w:rsidR="00800716" w:rsidRPr="001F7D21" w:rsidRDefault="00AF6F3C" w:rsidP="00ED7289">
      <w:pPr>
        <w:rPr>
          <w:lang w:val="fr-CA"/>
        </w:rPr>
      </w:pPr>
      <w:r w:rsidRPr="001F7D21">
        <w:rPr>
          <w:lang w:val="fr-CA"/>
        </w:rPr>
        <w:t>Les définitions suivantes s</w:t>
      </w:r>
      <w:r w:rsidR="00F976EE" w:rsidRPr="001F7D21">
        <w:rPr>
          <w:lang w:val="fr-CA"/>
        </w:rPr>
        <w:t>’</w:t>
      </w:r>
      <w:r w:rsidRPr="001F7D21">
        <w:rPr>
          <w:lang w:val="fr-CA"/>
        </w:rPr>
        <w:t>appliquent pour ce plan</w:t>
      </w:r>
      <w:r w:rsidR="00BE74F0" w:rsidRPr="001F7D21">
        <w:rPr>
          <w:lang w:val="fr-CA"/>
        </w:rPr>
        <w:t> </w:t>
      </w:r>
      <w:r w:rsidR="006553DA" w:rsidRPr="001F7D21">
        <w:rPr>
          <w:lang w:val="fr-CA"/>
        </w:rPr>
        <w:t>:</w:t>
      </w:r>
    </w:p>
    <w:p w14:paraId="5AC8A59F" w14:textId="1AC359DE" w:rsidR="006877EA" w:rsidRPr="005847D7" w:rsidRDefault="000F4D35" w:rsidP="00911C8D">
      <w:pPr>
        <w:pStyle w:val="Bodybullets"/>
        <w:rPr>
          <w:lang w:val="fr-CA"/>
        </w:rPr>
      </w:pPr>
      <w:r w:rsidRPr="005847D7">
        <w:rPr>
          <w:b/>
          <w:bCs/>
          <w:lang w:val="fr-CA"/>
        </w:rPr>
        <w:t>A</w:t>
      </w:r>
      <w:r w:rsidR="006877EA" w:rsidRPr="005847D7">
        <w:rPr>
          <w:b/>
          <w:bCs/>
          <w:lang w:val="fr-CA"/>
        </w:rPr>
        <w:t>ccessibilit</w:t>
      </w:r>
      <w:r w:rsidR="00AF6F3C" w:rsidRPr="005847D7">
        <w:rPr>
          <w:b/>
          <w:bCs/>
          <w:lang w:val="fr-CA"/>
        </w:rPr>
        <w:t>é</w:t>
      </w:r>
      <w:r w:rsidR="00BE74F0" w:rsidRPr="005847D7">
        <w:rPr>
          <w:b/>
          <w:bCs/>
          <w:lang w:val="fr-CA"/>
        </w:rPr>
        <w:t> </w:t>
      </w:r>
      <w:r w:rsidR="006877EA" w:rsidRPr="005847D7">
        <w:rPr>
          <w:b/>
          <w:bCs/>
          <w:lang w:val="fr-CA"/>
        </w:rPr>
        <w:t>:</w:t>
      </w:r>
      <w:r w:rsidR="006877EA" w:rsidRPr="005847D7">
        <w:rPr>
          <w:lang w:val="fr-CA"/>
        </w:rPr>
        <w:t xml:space="preserve"> </w:t>
      </w:r>
      <w:r w:rsidR="00B8689A" w:rsidRPr="005847D7">
        <w:rPr>
          <w:lang w:val="fr-CA"/>
        </w:rPr>
        <w:t>M</w:t>
      </w:r>
      <w:r w:rsidR="00EE32BF" w:rsidRPr="005847D7">
        <w:rPr>
          <w:lang w:val="fr-CA"/>
        </w:rPr>
        <w:t xml:space="preserve">éthode de conception des produits, dispositifs, </w:t>
      </w:r>
      <w:r w:rsidR="006877EA" w:rsidRPr="005847D7">
        <w:rPr>
          <w:lang w:val="fr-CA"/>
        </w:rPr>
        <w:t>services, environ</w:t>
      </w:r>
      <w:r w:rsidR="00EE32BF" w:rsidRPr="005847D7">
        <w:rPr>
          <w:lang w:val="fr-CA"/>
        </w:rPr>
        <w:t>ne</w:t>
      </w:r>
      <w:r w:rsidR="006877EA" w:rsidRPr="005847D7">
        <w:rPr>
          <w:lang w:val="fr-CA"/>
        </w:rPr>
        <w:t>ments, technologies, poli</w:t>
      </w:r>
      <w:r w:rsidR="00A50C4A" w:rsidRPr="005847D7">
        <w:rPr>
          <w:lang w:val="fr-CA"/>
        </w:rPr>
        <w:t>ti</w:t>
      </w:r>
      <w:r w:rsidR="00EE32BF" w:rsidRPr="005847D7">
        <w:rPr>
          <w:lang w:val="fr-CA"/>
        </w:rPr>
        <w:t>ques et règles afin de permettre à tous</w:t>
      </w:r>
      <w:r w:rsidR="00BE74F0" w:rsidRPr="005847D7">
        <w:rPr>
          <w:lang w:val="fr-CA"/>
        </w:rPr>
        <w:t> —</w:t>
      </w:r>
      <w:r w:rsidR="00F9541A" w:rsidRPr="005847D7">
        <w:rPr>
          <w:lang w:val="fr-CA"/>
        </w:rPr>
        <w:t> </w:t>
      </w:r>
      <w:r w:rsidR="00EE32BF" w:rsidRPr="005847D7">
        <w:rPr>
          <w:lang w:val="fr-CA"/>
        </w:rPr>
        <w:t xml:space="preserve">notamment aux </w:t>
      </w:r>
      <w:r w:rsidR="0031675D" w:rsidRPr="005847D7">
        <w:rPr>
          <w:lang w:val="fr-CA"/>
        </w:rPr>
        <w:t xml:space="preserve">personnes </w:t>
      </w:r>
      <w:r w:rsidR="00AD6B7C" w:rsidRPr="005847D7">
        <w:rPr>
          <w:lang w:val="fr-CA"/>
        </w:rPr>
        <w:t>en situation de handicap</w:t>
      </w:r>
      <w:r w:rsidR="00BE74F0" w:rsidRPr="005847D7">
        <w:rPr>
          <w:lang w:val="fr-CA"/>
        </w:rPr>
        <w:t> —</w:t>
      </w:r>
      <w:r w:rsidR="00EE32BF" w:rsidRPr="005847D7">
        <w:rPr>
          <w:lang w:val="fr-CA"/>
        </w:rPr>
        <w:t xml:space="preserve"> d’y accéder.</w:t>
      </w:r>
      <w:r w:rsidR="006877EA" w:rsidRPr="005847D7">
        <w:rPr>
          <w:lang w:val="fr-CA"/>
        </w:rPr>
        <w:t xml:space="preserve"> </w:t>
      </w:r>
    </w:p>
    <w:p w14:paraId="64752E86" w14:textId="04295454" w:rsidR="006877EA" w:rsidRPr="005847D7" w:rsidRDefault="000F4D35" w:rsidP="00911C8D">
      <w:pPr>
        <w:pStyle w:val="Bodybullets"/>
        <w:rPr>
          <w:lang w:val="fr-CA"/>
        </w:rPr>
      </w:pPr>
      <w:r w:rsidRPr="005847D7">
        <w:rPr>
          <w:b/>
          <w:bCs/>
          <w:lang w:val="fr-CA"/>
        </w:rPr>
        <w:t>Obstacle</w:t>
      </w:r>
      <w:r w:rsidR="00BE74F0" w:rsidRPr="005847D7">
        <w:rPr>
          <w:b/>
          <w:bCs/>
          <w:lang w:val="fr-CA"/>
        </w:rPr>
        <w:t> </w:t>
      </w:r>
      <w:r w:rsidR="006877EA" w:rsidRPr="005847D7">
        <w:rPr>
          <w:b/>
          <w:bCs/>
          <w:lang w:val="fr-CA"/>
        </w:rPr>
        <w:t>:</w:t>
      </w:r>
      <w:r w:rsidR="006877EA" w:rsidRPr="005847D7">
        <w:rPr>
          <w:lang w:val="fr-CA"/>
        </w:rPr>
        <w:t xml:space="preserve"> </w:t>
      </w:r>
      <w:r w:rsidRPr="005847D7">
        <w:rPr>
          <w:lang w:val="fr-CA"/>
        </w:rPr>
        <w:t xml:space="preserve">Tout élément nuisant à la participation pleine et égale des </w:t>
      </w:r>
      <w:r w:rsidR="0031675D" w:rsidRPr="005847D7">
        <w:rPr>
          <w:lang w:val="fr-CA"/>
        </w:rPr>
        <w:t xml:space="preserve">personnes </w:t>
      </w:r>
      <w:r w:rsidR="00AD6B7C" w:rsidRPr="005847D7">
        <w:rPr>
          <w:lang w:val="fr-CA"/>
        </w:rPr>
        <w:t>en situation de handicap</w:t>
      </w:r>
      <w:r w:rsidR="0092658E" w:rsidRPr="005847D7">
        <w:rPr>
          <w:lang w:val="fr-CA"/>
        </w:rPr>
        <w:t xml:space="preserve"> dans la société</w:t>
      </w:r>
      <w:r w:rsidRPr="005847D7">
        <w:rPr>
          <w:lang w:val="fr-CA"/>
        </w:rPr>
        <w:t xml:space="preserve">. Ces obstacles peuvent </w:t>
      </w:r>
      <w:r w:rsidRPr="005847D7">
        <w:rPr>
          <w:lang w:val="fr-CA"/>
        </w:rPr>
        <w:lastRenderedPageBreak/>
        <w:t>être de nature physique, architecturale, technologique, comportementale</w:t>
      </w:r>
      <w:r w:rsidR="00BE74F0" w:rsidRPr="005847D7">
        <w:rPr>
          <w:lang w:val="fr-CA"/>
        </w:rPr>
        <w:t>,</w:t>
      </w:r>
      <w:r w:rsidRPr="005847D7">
        <w:rPr>
          <w:lang w:val="fr-CA"/>
        </w:rPr>
        <w:t xml:space="preserve"> ou</w:t>
      </w:r>
      <w:r w:rsidR="00BE74F0" w:rsidRPr="005847D7">
        <w:rPr>
          <w:lang w:val="fr-CA"/>
        </w:rPr>
        <w:t xml:space="preserve"> être</w:t>
      </w:r>
      <w:r w:rsidRPr="005847D7">
        <w:rPr>
          <w:lang w:val="fr-CA"/>
        </w:rPr>
        <w:t xml:space="preserve"> liés à l’information et aux communications</w:t>
      </w:r>
      <w:r w:rsidR="0021395C" w:rsidRPr="005847D7">
        <w:rPr>
          <w:lang w:val="fr-CA"/>
        </w:rPr>
        <w:t xml:space="preserve">. </w:t>
      </w:r>
      <w:r w:rsidR="0021395C" w:rsidRPr="005847D7">
        <w:rPr>
          <w:iCs/>
          <w:lang w:val="fr-CA"/>
        </w:rPr>
        <w:t>Il</w:t>
      </w:r>
      <w:r w:rsidRPr="005847D7">
        <w:rPr>
          <w:lang w:val="fr-CA"/>
        </w:rPr>
        <w:t xml:space="preserve">s peuvent </w:t>
      </w:r>
      <w:r w:rsidR="0021395C" w:rsidRPr="005847D7">
        <w:rPr>
          <w:lang w:val="fr-CA"/>
        </w:rPr>
        <w:t xml:space="preserve">aussi </w:t>
      </w:r>
      <w:r w:rsidRPr="005847D7">
        <w:rPr>
          <w:lang w:val="fr-CA"/>
        </w:rPr>
        <w:t xml:space="preserve">résulter </w:t>
      </w:r>
      <w:r w:rsidR="00D570FF" w:rsidRPr="005847D7">
        <w:rPr>
          <w:lang w:val="fr-CA"/>
        </w:rPr>
        <w:t>d’une politique ou d’une procédure.</w:t>
      </w:r>
      <w:r w:rsidR="006877EA" w:rsidRPr="005847D7">
        <w:rPr>
          <w:lang w:val="fr-CA"/>
        </w:rPr>
        <w:t xml:space="preserve"> </w:t>
      </w:r>
    </w:p>
    <w:p w14:paraId="624DDB39" w14:textId="02ECC576" w:rsidR="00A50C4A" w:rsidRPr="005847D7" w:rsidRDefault="00A50C4A" w:rsidP="00911C8D">
      <w:pPr>
        <w:pStyle w:val="Bodybullets"/>
        <w:rPr>
          <w:b/>
          <w:bCs/>
          <w:lang w:val="fr-CA"/>
        </w:rPr>
      </w:pPr>
      <w:r w:rsidRPr="005847D7">
        <w:rPr>
          <w:b/>
          <w:bCs/>
          <w:lang w:val="fr-CA"/>
        </w:rPr>
        <w:t>Handicap</w:t>
      </w:r>
      <w:r w:rsidR="00BE74F0" w:rsidRPr="005847D7">
        <w:rPr>
          <w:b/>
          <w:bCs/>
          <w:lang w:val="fr-CA"/>
        </w:rPr>
        <w:t> </w:t>
      </w:r>
      <w:r w:rsidR="00E203B1" w:rsidRPr="005847D7">
        <w:rPr>
          <w:b/>
          <w:bCs/>
          <w:lang w:val="fr-CA"/>
        </w:rPr>
        <w:t>:</w:t>
      </w:r>
      <w:r w:rsidR="002E427B" w:rsidRPr="005847D7">
        <w:rPr>
          <w:b/>
          <w:bCs/>
          <w:lang w:val="fr-CA"/>
        </w:rPr>
        <w:t xml:space="preserve"> </w:t>
      </w:r>
      <w:r w:rsidRPr="005847D7">
        <w:rPr>
          <w:lang w:val="fr-CA"/>
        </w:rPr>
        <w:t>Déficience ou différence notamment physique, mentale, intellectuelle, cognitive ou sensorielle, ou encore trouble d’apprentissage ou de la communication, et dont l’interaction avec un obstacle nuit à la participation pleine et égale d’une personne dans la société.</w:t>
      </w:r>
      <w:r w:rsidRPr="005847D7">
        <w:rPr>
          <w:b/>
          <w:bCs/>
          <w:lang w:val="fr-CA"/>
        </w:rPr>
        <w:t xml:space="preserve"> </w:t>
      </w:r>
      <w:r w:rsidRPr="005847D7">
        <w:rPr>
          <w:lang w:val="fr-CA"/>
        </w:rPr>
        <w:t>Les handicaps peuvent être de nature permanente, temporaire ou épisodique, et ils peuvent être manifestes ou non.</w:t>
      </w:r>
    </w:p>
    <w:p w14:paraId="0F2465A2" w14:textId="535B5E48" w:rsidR="008B7A14" w:rsidRPr="005847D7" w:rsidRDefault="00A50C4A" w:rsidP="00911C8D">
      <w:pPr>
        <w:pStyle w:val="Bodybullets"/>
        <w:rPr>
          <w:lang w:val="fr-CA"/>
        </w:rPr>
      </w:pPr>
      <w:r w:rsidRPr="005847D7">
        <w:rPr>
          <w:b/>
          <w:bCs/>
          <w:lang w:val="fr-CA"/>
        </w:rPr>
        <w:t>R</w:t>
      </w:r>
      <w:r w:rsidR="00F551E3" w:rsidRPr="005847D7">
        <w:rPr>
          <w:b/>
          <w:bCs/>
          <w:lang w:val="fr-CA"/>
        </w:rPr>
        <w:t>em</w:t>
      </w:r>
      <w:r w:rsidRPr="005847D7">
        <w:rPr>
          <w:b/>
          <w:bCs/>
          <w:lang w:val="fr-CA"/>
        </w:rPr>
        <w:t>édier</w:t>
      </w:r>
      <w:r w:rsidR="00BE74F0" w:rsidRPr="005847D7">
        <w:rPr>
          <w:b/>
          <w:bCs/>
          <w:lang w:val="fr-CA"/>
        </w:rPr>
        <w:t> </w:t>
      </w:r>
      <w:r w:rsidR="00F551E3" w:rsidRPr="005847D7">
        <w:rPr>
          <w:lang w:val="fr-CA"/>
        </w:rPr>
        <w:t xml:space="preserve">: </w:t>
      </w:r>
      <w:r w:rsidR="00B8689A" w:rsidRPr="005847D7">
        <w:rPr>
          <w:lang w:val="fr-CA"/>
        </w:rPr>
        <w:t>R</w:t>
      </w:r>
      <w:r w:rsidRPr="005847D7">
        <w:rPr>
          <w:lang w:val="fr-CA"/>
        </w:rPr>
        <w:t>égler ou corriger un problème</w:t>
      </w:r>
      <w:r w:rsidR="00C26F5B" w:rsidRPr="005847D7">
        <w:rPr>
          <w:lang w:val="fr-CA"/>
        </w:rPr>
        <w:t xml:space="preserve">. </w:t>
      </w:r>
      <w:r w:rsidRPr="005847D7">
        <w:rPr>
          <w:lang w:val="fr-CA"/>
        </w:rPr>
        <w:t>Dans ce context</w:t>
      </w:r>
      <w:r w:rsidR="00B35CA3" w:rsidRPr="005847D7">
        <w:rPr>
          <w:lang w:val="fr-CA"/>
        </w:rPr>
        <w:t>e</w:t>
      </w:r>
      <w:r w:rsidRPr="005847D7">
        <w:rPr>
          <w:lang w:val="fr-CA"/>
        </w:rPr>
        <w:t>, la</w:t>
      </w:r>
      <w:r w:rsidR="00C26F5B" w:rsidRPr="005847D7">
        <w:rPr>
          <w:lang w:val="fr-CA"/>
        </w:rPr>
        <w:t xml:space="preserve"> </w:t>
      </w:r>
      <w:r w:rsidR="00C26F5B" w:rsidRPr="005847D7">
        <w:rPr>
          <w:b/>
          <w:bCs/>
          <w:lang w:val="fr-CA"/>
        </w:rPr>
        <w:t>rem</w:t>
      </w:r>
      <w:r w:rsidRPr="005847D7">
        <w:rPr>
          <w:b/>
          <w:bCs/>
          <w:lang w:val="fr-CA"/>
        </w:rPr>
        <w:t>é</w:t>
      </w:r>
      <w:r w:rsidR="00C26F5B" w:rsidRPr="005847D7">
        <w:rPr>
          <w:b/>
          <w:bCs/>
          <w:lang w:val="fr-CA"/>
        </w:rPr>
        <w:t>diation</w:t>
      </w:r>
      <w:r w:rsidR="00C26F5B" w:rsidRPr="005847D7">
        <w:rPr>
          <w:lang w:val="fr-CA"/>
        </w:rPr>
        <w:t xml:space="preserve"> </w:t>
      </w:r>
      <w:r w:rsidRPr="005847D7">
        <w:rPr>
          <w:lang w:val="fr-CA"/>
        </w:rPr>
        <w:t>signifie changer les choses pour les rendre plus accessibles.</w:t>
      </w:r>
      <w:r w:rsidR="00C26F5B" w:rsidRPr="005847D7">
        <w:rPr>
          <w:lang w:val="fr-CA"/>
        </w:rPr>
        <w:t xml:space="preserve"> </w:t>
      </w:r>
    </w:p>
    <w:p w14:paraId="5234D083" w14:textId="0A7E1101" w:rsidR="00854D10" w:rsidRPr="00020975" w:rsidRDefault="00A754E9" w:rsidP="00911C8D">
      <w:pPr>
        <w:pStyle w:val="Heading2"/>
        <w:rPr>
          <w:lang w:val="fr-CA"/>
        </w:rPr>
      </w:pPr>
      <w:bookmarkStart w:id="7" w:name="_Toc117886741"/>
      <w:r w:rsidRPr="00020975">
        <w:rPr>
          <w:lang w:val="fr-CA"/>
        </w:rPr>
        <w:t xml:space="preserve">Description </w:t>
      </w:r>
      <w:r w:rsidR="00B35CA3">
        <w:rPr>
          <w:lang w:val="fr-CA"/>
        </w:rPr>
        <w:t xml:space="preserve">du Sénat du </w:t>
      </w:r>
      <w:r w:rsidR="00854D10" w:rsidRPr="00020975">
        <w:rPr>
          <w:lang w:val="fr-CA"/>
        </w:rPr>
        <w:t>Canada</w:t>
      </w:r>
      <w:bookmarkEnd w:id="7"/>
      <w:r w:rsidR="00854D10" w:rsidRPr="00020975">
        <w:rPr>
          <w:lang w:val="fr-CA"/>
        </w:rPr>
        <w:t xml:space="preserve"> </w:t>
      </w:r>
    </w:p>
    <w:p w14:paraId="6EE65A0D" w14:textId="64713E12" w:rsidR="007E120B" w:rsidRDefault="00B35CA3" w:rsidP="007E120B">
      <w:pPr>
        <w:rPr>
          <w:lang w:val="fr-CA"/>
        </w:rPr>
      </w:pPr>
      <w:r w:rsidRPr="00B35CA3">
        <w:rPr>
          <w:lang w:val="fr-CA"/>
        </w:rPr>
        <w:t xml:space="preserve">Le Sénat est la chambre haute du Parlement du Canada. Il a été créé pour faire contrepoids à la représentation démographique de la Chambre des communes. </w:t>
      </w:r>
      <w:r w:rsidR="005C1F6F" w:rsidRPr="005C1F6F">
        <w:rPr>
          <w:lang w:val="fr-CA"/>
        </w:rPr>
        <w:t xml:space="preserve">Le Sénat a évolué, son mandat passant de la défense des intérêts régionaux à l’expression de groupes sous-représentés comme les Autochtones, les </w:t>
      </w:r>
      <w:r w:rsidR="009F734C">
        <w:rPr>
          <w:lang w:val="fr-CA"/>
        </w:rPr>
        <w:t xml:space="preserve">groupes </w:t>
      </w:r>
      <w:r w:rsidR="005C1F6F" w:rsidRPr="005C1F6F">
        <w:rPr>
          <w:lang w:val="fr-CA"/>
        </w:rPr>
        <w:t>minorit</w:t>
      </w:r>
      <w:r w:rsidR="009F734C">
        <w:rPr>
          <w:lang w:val="fr-CA"/>
        </w:rPr>
        <w:t>aires</w:t>
      </w:r>
      <w:r w:rsidR="005C1F6F">
        <w:rPr>
          <w:lang w:val="fr-CA"/>
        </w:rPr>
        <w:t>,</w:t>
      </w:r>
      <w:r w:rsidR="005C1F6F" w:rsidRPr="005C1F6F">
        <w:rPr>
          <w:lang w:val="fr-CA"/>
        </w:rPr>
        <w:t xml:space="preserve"> les femmes</w:t>
      </w:r>
      <w:r w:rsidR="005C1F6F">
        <w:rPr>
          <w:lang w:val="fr-CA"/>
        </w:rPr>
        <w:t xml:space="preserve"> et les </w:t>
      </w:r>
      <w:r w:rsidR="0031675D">
        <w:rPr>
          <w:lang w:val="fr-CA"/>
        </w:rPr>
        <w:t xml:space="preserve">personnes </w:t>
      </w:r>
      <w:r w:rsidR="00AD6B7C">
        <w:rPr>
          <w:lang w:val="fr-CA"/>
        </w:rPr>
        <w:t>en situation de handicap</w:t>
      </w:r>
      <w:r w:rsidR="005C1F6F">
        <w:rPr>
          <w:lang w:val="fr-CA"/>
        </w:rPr>
        <w:t>.</w:t>
      </w:r>
      <w:r w:rsidR="00854D10" w:rsidRPr="005C1F6F">
        <w:rPr>
          <w:lang w:val="fr-CA"/>
        </w:rPr>
        <w:t xml:space="preserve"> </w:t>
      </w:r>
    </w:p>
    <w:p w14:paraId="789A7D1F" w14:textId="77777777" w:rsidR="00B13846" w:rsidRPr="001A74F1" w:rsidRDefault="00B13846" w:rsidP="00B13846">
      <w:pPr>
        <w:pStyle w:val="Heading1"/>
      </w:pPr>
      <w:bookmarkStart w:id="8" w:name="_Toc117886742"/>
      <w:r w:rsidRPr="001A74F1">
        <w:t>Consultations</w:t>
      </w:r>
      <w:bookmarkEnd w:id="8"/>
    </w:p>
    <w:p w14:paraId="59BF0027" w14:textId="77777777" w:rsidR="00B13846" w:rsidRPr="00020975" w:rsidRDefault="00B13846" w:rsidP="00B13846">
      <w:pPr>
        <w:pStyle w:val="Heading2"/>
        <w:rPr>
          <w:lang w:val="fr-CA"/>
        </w:rPr>
      </w:pPr>
      <w:bookmarkStart w:id="9" w:name="_Toc117886743"/>
      <w:r>
        <w:rPr>
          <w:lang w:val="fr-CA"/>
        </w:rPr>
        <w:t>Aperçu du processus de c</w:t>
      </w:r>
      <w:r w:rsidRPr="00020975">
        <w:rPr>
          <w:lang w:val="fr-CA"/>
        </w:rPr>
        <w:t>onsultation</w:t>
      </w:r>
      <w:bookmarkEnd w:id="9"/>
      <w:r w:rsidRPr="00020975">
        <w:rPr>
          <w:lang w:val="fr-CA"/>
        </w:rPr>
        <w:t xml:space="preserve"> </w:t>
      </w:r>
    </w:p>
    <w:p w14:paraId="0F75B59B" w14:textId="77777777" w:rsidR="00B13846" w:rsidRPr="00020975" w:rsidRDefault="00B13846" w:rsidP="00B13846">
      <w:pPr>
        <w:rPr>
          <w:lang w:val="fr-CA"/>
        </w:rPr>
      </w:pPr>
      <w:r w:rsidRPr="00E93396">
        <w:rPr>
          <w:lang w:val="fr-CA"/>
        </w:rPr>
        <w:t>Le Sénat s</w:t>
      </w:r>
      <w:r>
        <w:rPr>
          <w:lang w:val="fr-CA"/>
        </w:rPr>
        <w:t>’</w:t>
      </w:r>
      <w:r w:rsidRPr="00E93396">
        <w:rPr>
          <w:lang w:val="fr-CA"/>
        </w:rPr>
        <w:t xml:space="preserve">engage pleinement à représenter la voix des </w:t>
      </w:r>
      <w:r>
        <w:rPr>
          <w:lang w:val="fr-CA"/>
        </w:rPr>
        <w:t>personnes en situation de handicap</w:t>
      </w:r>
      <w:r w:rsidRPr="00E93396">
        <w:rPr>
          <w:lang w:val="fr-CA"/>
        </w:rPr>
        <w:t xml:space="preserve"> tant dans </w:t>
      </w:r>
      <w:r>
        <w:rPr>
          <w:lang w:val="fr-CA"/>
        </w:rPr>
        <w:t>le</w:t>
      </w:r>
      <w:r w:rsidRPr="00E93396">
        <w:rPr>
          <w:lang w:val="fr-CA"/>
        </w:rPr>
        <w:t xml:space="preserve"> cadre de ses activités législatives que de ses activités quotidiennes. Pour s</w:t>
      </w:r>
      <w:r>
        <w:rPr>
          <w:lang w:val="fr-CA"/>
        </w:rPr>
        <w:t>’</w:t>
      </w:r>
      <w:r w:rsidRPr="00E93396">
        <w:rPr>
          <w:lang w:val="fr-CA"/>
        </w:rPr>
        <w:t>assurer que cet engagement est respecté, le Sénat a l</w:t>
      </w:r>
      <w:r>
        <w:rPr>
          <w:lang w:val="fr-CA"/>
        </w:rPr>
        <w:t>’</w:t>
      </w:r>
      <w:r w:rsidRPr="00E93396">
        <w:rPr>
          <w:lang w:val="fr-CA"/>
        </w:rPr>
        <w:t xml:space="preserve">intention de consulter les </w:t>
      </w:r>
      <w:r>
        <w:rPr>
          <w:lang w:val="fr-CA"/>
        </w:rPr>
        <w:t>personnes en situation de handicap</w:t>
      </w:r>
      <w:r w:rsidRPr="00E93396">
        <w:rPr>
          <w:lang w:val="fr-CA"/>
        </w:rPr>
        <w:t xml:space="preserve"> </w:t>
      </w:r>
      <w:r>
        <w:rPr>
          <w:lang w:val="fr-CA"/>
        </w:rPr>
        <w:t>à toutes les étapes</w:t>
      </w:r>
      <w:r w:rsidRPr="00E93396">
        <w:rPr>
          <w:lang w:val="fr-CA"/>
        </w:rPr>
        <w:t xml:space="preserve"> de l</w:t>
      </w:r>
      <w:r>
        <w:rPr>
          <w:lang w:val="fr-CA"/>
        </w:rPr>
        <w:t>’</w:t>
      </w:r>
      <w:r w:rsidRPr="00E93396">
        <w:rPr>
          <w:lang w:val="fr-CA"/>
        </w:rPr>
        <w:t>évolution de ce plan d</w:t>
      </w:r>
      <w:r>
        <w:rPr>
          <w:lang w:val="fr-CA"/>
        </w:rPr>
        <w:t>’</w:t>
      </w:r>
      <w:r w:rsidRPr="00E93396">
        <w:rPr>
          <w:lang w:val="fr-CA"/>
        </w:rPr>
        <w:t xml:space="preserve">accessibilité, ainsi que dans </w:t>
      </w:r>
      <w:r>
        <w:rPr>
          <w:lang w:val="fr-CA"/>
        </w:rPr>
        <w:t xml:space="preserve">le cadre </w:t>
      </w:r>
      <w:r w:rsidRPr="00E93396">
        <w:rPr>
          <w:lang w:val="fr-CA"/>
        </w:rPr>
        <w:t>d</w:t>
      </w:r>
      <w:r>
        <w:rPr>
          <w:lang w:val="fr-CA"/>
        </w:rPr>
        <w:t>’</w:t>
      </w:r>
      <w:r w:rsidRPr="00E93396">
        <w:rPr>
          <w:lang w:val="fr-CA"/>
        </w:rPr>
        <w:t>autres projets importants entrepris par l</w:t>
      </w:r>
      <w:r>
        <w:rPr>
          <w:lang w:val="fr-CA"/>
        </w:rPr>
        <w:t>’</w:t>
      </w:r>
      <w:r w:rsidRPr="00E93396">
        <w:rPr>
          <w:lang w:val="fr-CA"/>
        </w:rPr>
        <w:t>organisation.</w:t>
      </w:r>
      <w:r w:rsidRPr="00020975">
        <w:rPr>
          <w:lang w:val="fr-CA"/>
        </w:rPr>
        <w:t xml:space="preserve"> </w:t>
      </w:r>
    </w:p>
    <w:p w14:paraId="31C4C231" w14:textId="4934C7C3" w:rsidR="00B13846" w:rsidRPr="00020975" w:rsidRDefault="00B13846" w:rsidP="00B13846">
      <w:pPr>
        <w:rPr>
          <w:lang w:val="fr-CA"/>
        </w:rPr>
      </w:pPr>
      <w:r w:rsidRPr="003E2950">
        <w:rPr>
          <w:lang w:val="fr-CA"/>
        </w:rPr>
        <w:lastRenderedPageBreak/>
        <w:t xml:space="preserve">Les sections qui suivent décrivent comment les </w:t>
      </w:r>
      <w:r>
        <w:rPr>
          <w:lang w:val="fr-CA"/>
        </w:rPr>
        <w:t>personnes en situation de handicap</w:t>
      </w:r>
      <w:r w:rsidRPr="003E2950">
        <w:rPr>
          <w:lang w:val="fr-CA"/>
        </w:rPr>
        <w:t xml:space="preserve"> ont été consultées lors de sa préparation; toutefois, le Sénat reconnaît que ces consultations </w:t>
      </w:r>
      <w:r w:rsidR="00A03C53">
        <w:rPr>
          <w:lang w:val="fr-CA"/>
        </w:rPr>
        <w:t>doivent</w:t>
      </w:r>
      <w:r w:rsidRPr="003E2950">
        <w:rPr>
          <w:lang w:val="fr-CA"/>
        </w:rPr>
        <w:t xml:space="preserve"> être permanentes. </w:t>
      </w:r>
      <w:r>
        <w:rPr>
          <w:lang w:val="fr-CA"/>
        </w:rPr>
        <w:t>Le Sénat est</w:t>
      </w:r>
      <w:r w:rsidRPr="003E2950">
        <w:rPr>
          <w:lang w:val="fr-CA"/>
        </w:rPr>
        <w:t xml:space="preserve"> donc déterminé à établir des relations de confiance avec les </w:t>
      </w:r>
      <w:r>
        <w:rPr>
          <w:lang w:val="fr-CA"/>
        </w:rPr>
        <w:t>personnes en situation de handicap</w:t>
      </w:r>
      <w:r w:rsidRPr="003E2950">
        <w:rPr>
          <w:lang w:val="fr-CA"/>
        </w:rPr>
        <w:t xml:space="preserve"> afin de mener des consultations efficaces à l</w:t>
      </w:r>
      <w:r>
        <w:rPr>
          <w:lang w:val="fr-CA"/>
        </w:rPr>
        <w:t>’</w:t>
      </w:r>
      <w:r w:rsidRPr="003E2950">
        <w:rPr>
          <w:lang w:val="fr-CA"/>
        </w:rPr>
        <w:t>avenir.</w:t>
      </w:r>
      <w:r w:rsidRPr="00020975">
        <w:rPr>
          <w:lang w:val="fr-CA"/>
        </w:rPr>
        <w:t xml:space="preserve"> </w:t>
      </w:r>
    </w:p>
    <w:p w14:paraId="645AA532" w14:textId="77777777" w:rsidR="00B13846" w:rsidRPr="00020975" w:rsidRDefault="00B13846" w:rsidP="00B13846">
      <w:pPr>
        <w:rPr>
          <w:lang w:val="fr-CA"/>
        </w:rPr>
      </w:pPr>
      <w:r w:rsidRPr="00D04EDC">
        <w:rPr>
          <w:lang w:val="fr-CA"/>
        </w:rPr>
        <w:t>Toutes les consultations ont été menées entre janvier et mars</w:t>
      </w:r>
      <w:r>
        <w:rPr>
          <w:lang w:val="fr-CA"/>
        </w:rPr>
        <w:t> </w:t>
      </w:r>
      <w:r w:rsidRPr="00D04EDC">
        <w:rPr>
          <w:lang w:val="fr-CA"/>
        </w:rPr>
        <w:t>2022. En raison de la pandémie de COVID-19, toutes les consultations ont été menées à distance, soit par l</w:t>
      </w:r>
      <w:r>
        <w:rPr>
          <w:lang w:val="fr-CA"/>
        </w:rPr>
        <w:t>’</w:t>
      </w:r>
      <w:r w:rsidRPr="00D04EDC">
        <w:rPr>
          <w:lang w:val="fr-CA"/>
        </w:rPr>
        <w:t>entremise d</w:t>
      </w:r>
      <w:r>
        <w:rPr>
          <w:lang w:val="fr-CA"/>
        </w:rPr>
        <w:t>’</w:t>
      </w:r>
      <w:r w:rsidRPr="00D04EDC">
        <w:rPr>
          <w:lang w:val="fr-CA"/>
        </w:rPr>
        <w:t>enquêtes en ligne, soit par des plateformes d</w:t>
      </w:r>
      <w:r>
        <w:rPr>
          <w:lang w:val="fr-CA"/>
        </w:rPr>
        <w:t>’</w:t>
      </w:r>
      <w:r w:rsidRPr="00D04EDC">
        <w:rPr>
          <w:lang w:val="fr-CA"/>
        </w:rPr>
        <w:t>appels vidéo (Microsoft Teams et Zoom). Pour garantir l</w:t>
      </w:r>
      <w:r>
        <w:rPr>
          <w:lang w:val="fr-CA"/>
        </w:rPr>
        <w:t>’</w:t>
      </w:r>
      <w:r w:rsidRPr="00D04EDC">
        <w:rPr>
          <w:lang w:val="fr-CA"/>
        </w:rPr>
        <w:t>accessibilité des consultations, nous avons vérifié auprès de chaque personne avant l</w:t>
      </w:r>
      <w:r>
        <w:rPr>
          <w:lang w:val="fr-CA"/>
        </w:rPr>
        <w:t>’</w:t>
      </w:r>
      <w:r w:rsidRPr="00D04EDC">
        <w:rPr>
          <w:lang w:val="fr-CA"/>
        </w:rPr>
        <w:t>heure prévue de la réunion qu</w:t>
      </w:r>
      <w:r>
        <w:rPr>
          <w:lang w:val="fr-CA"/>
        </w:rPr>
        <w:t>’elle pouvait accéder à</w:t>
      </w:r>
      <w:r w:rsidRPr="00D04EDC">
        <w:rPr>
          <w:lang w:val="fr-CA"/>
        </w:rPr>
        <w:t xml:space="preserve"> la plateforme et </w:t>
      </w:r>
      <w:r>
        <w:rPr>
          <w:lang w:val="fr-CA"/>
        </w:rPr>
        <w:t>nous lui avons demandé</w:t>
      </w:r>
      <w:r w:rsidRPr="00D04EDC">
        <w:rPr>
          <w:lang w:val="fr-CA"/>
        </w:rPr>
        <w:t xml:space="preserve"> si elle avait besoin d</w:t>
      </w:r>
      <w:r>
        <w:rPr>
          <w:lang w:val="fr-CA"/>
        </w:rPr>
        <w:t>’</w:t>
      </w:r>
      <w:r w:rsidRPr="00D04EDC">
        <w:rPr>
          <w:lang w:val="fr-CA"/>
        </w:rPr>
        <w:t>aménagements pour participer.</w:t>
      </w:r>
      <w:r w:rsidRPr="00020975">
        <w:rPr>
          <w:lang w:val="fr-CA"/>
        </w:rPr>
        <w:t xml:space="preserve"> </w:t>
      </w:r>
    </w:p>
    <w:p w14:paraId="04804F60" w14:textId="77777777" w:rsidR="00B13846" w:rsidRPr="00847FD7" w:rsidRDefault="00B13846" w:rsidP="00B13846">
      <w:pPr>
        <w:pStyle w:val="Heading2"/>
        <w:rPr>
          <w:lang w:val="fr-CA"/>
        </w:rPr>
      </w:pPr>
      <w:bookmarkStart w:id="10" w:name="_Toc117886744"/>
      <w:r w:rsidRPr="00847FD7">
        <w:rPr>
          <w:lang w:val="fr-CA"/>
        </w:rPr>
        <w:t xml:space="preserve">Consultations auprès des sénateurs et des membres du personnel du </w:t>
      </w:r>
      <w:r>
        <w:rPr>
          <w:lang w:val="fr-CA"/>
        </w:rPr>
        <w:t>Sénat en situation de handicap</w:t>
      </w:r>
      <w:bookmarkEnd w:id="10"/>
      <w:r w:rsidRPr="00847FD7">
        <w:rPr>
          <w:lang w:val="fr-CA"/>
        </w:rPr>
        <w:t xml:space="preserve"> </w:t>
      </w:r>
    </w:p>
    <w:p w14:paraId="4971D20B" w14:textId="77777777" w:rsidR="00B13846" w:rsidRPr="00020975" w:rsidRDefault="00B13846" w:rsidP="00B13846">
      <w:pPr>
        <w:rPr>
          <w:lang w:val="fr-CA"/>
        </w:rPr>
      </w:pPr>
      <w:r w:rsidRPr="00EC0CD0">
        <w:rPr>
          <w:lang w:val="fr-CA"/>
        </w:rPr>
        <w:t xml:space="preserve">Les consultations ont commencé par un sondage destiné aux sénateurs et aux membres du personnel du Sénat </w:t>
      </w:r>
      <w:r>
        <w:rPr>
          <w:lang w:val="fr-CA"/>
        </w:rPr>
        <w:t>en situation de handicap</w:t>
      </w:r>
      <w:r w:rsidRPr="00847FD7">
        <w:rPr>
          <w:lang w:val="fr-CA"/>
        </w:rPr>
        <w:t>. Ce sondage portait sur les expériences de</w:t>
      </w:r>
      <w:r>
        <w:rPr>
          <w:lang w:val="fr-CA"/>
        </w:rPr>
        <w:t>s individus</w:t>
      </w:r>
      <w:r w:rsidRPr="00847FD7">
        <w:rPr>
          <w:lang w:val="fr-CA"/>
        </w:rPr>
        <w:t>, les obstacles à l</w:t>
      </w:r>
      <w:r>
        <w:rPr>
          <w:lang w:val="fr-CA"/>
        </w:rPr>
        <w:t>’</w:t>
      </w:r>
      <w:r w:rsidRPr="00847FD7">
        <w:rPr>
          <w:lang w:val="fr-CA"/>
        </w:rPr>
        <w:t>accessibilité et les suggestions d</w:t>
      </w:r>
      <w:r>
        <w:rPr>
          <w:lang w:val="fr-CA"/>
        </w:rPr>
        <w:t>’</w:t>
      </w:r>
      <w:r w:rsidRPr="00847FD7">
        <w:rPr>
          <w:lang w:val="fr-CA"/>
        </w:rPr>
        <w:t xml:space="preserve">améliorations. Nous avons également demandé aux personnes qui ont répondu au sondage si elles souhaitaient avoir une conversation de suivi pour </w:t>
      </w:r>
      <w:r>
        <w:rPr>
          <w:lang w:val="fr-CA"/>
        </w:rPr>
        <w:t>nous faire part de</w:t>
      </w:r>
      <w:r w:rsidRPr="00847FD7">
        <w:rPr>
          <w:lang w:val="fr-CA"/>
        </w:rPr>
        <w:t xml:space="preserve"> leurs réflexions plus détaillées sur l</w:t>
      </w:r>
      <w:r>
        <w:rPr>
          <w:lang w:val="fr-CA"/>
        </w:rPr>
        <w:t>’</w:t>
      </w:r>
      <w:r w:rsidRPr="00847FD7">
        <w:rPr>
          <w:lang w:val="fr-CA"/>
        </w:rPr>
        <w:t>accessibilité au Sénat. Les réponses ont permis d</w:t>
      </w:r>
      <w:r>
        <w:rPr>
          <w:lang w:val="fr-CA"/>
        </w:rPr>
        <w:t>’</w:t>
      </w:r>
      <w:r w:rsidRPr="00847FD7">
        <w:rPr>
          <w:lang w:val="fr-CA"/>
        </w:rPr>
        <w:t>identifier certains obstacles, en particulier pour ce qui est de l</w:t>
      </w:r>
      <w:r>
        <w:rPr>
          <w:lang w:val="fr-CA"/>
        </w:rPr>
        <w:t>’</w:t>
      </w:r>
      <w:r w:rsidRPr="00847FD7">
        <w:rPr>
          <w:lang w:val="fr-CA"/>
        </w:rPr>
        <w:t xml:space="preserve">environnement bâti, </w:t>
      </w:r>
      <w:r>
        <w:rPr>
          <w:lang w:val="fr-CA"/>
        </w:rPr>
        <w:t>des t</w:t>
      </w:r>
      <w:r w:rsidRPr="00381B4F">
        <w:rPr>
          <w:lang w:val="fr-CA"/>
        </w:rPr>
        <w:t>echnologies de l’information et des communications</w:t>
      </w:r>
      <w:r>
        <w:rPr>
          <w:lang w:val="fr-CA"/>
        </w:rPr>
        <w:t>,</w:t>
      </w:r>
      <w:r w:rsidRPr="00847FD7">
        <w:rPr>
          <w:lang w:val="fr-CA"/>
        </w:rPr>
        <w:t xml:space="preserve"> et du processus d</w:t>
      </w:r>
      <w:r>
        <w:rPr>
          <w:lang w:val="fr-CA"/>
        </w:rPr>
        <w:t>’</w:t>
      </w:r>
      <w:r w:rsidRPr="00847FD7">
        <w:rPr>
          <w:lang w:val="fr-CA"/>
        </w:rPr>
        <w:t>aménagement pour les employés</w:t>
      </w:r>
      <w:r w:rsidRPr="00020975">
        <w:rPr>
          <w:lang w:val="fr-CA"/>
        </w:rPr>
        <w:t>.</w:t>
      </w:r>
    </w:p>
    <w:p w14:paraId="2E93C45E" w14:textId="77777777" w:rsidR="00B13846" w:rsidRPr="00020975" w:rsidRDefault="00B13846" w:rsidP="00B13846">
      <w:pPr>
        <w:pStyle w:val="Heading2"/>
        <w:rPr>
          <w:lang w:val="fr-CA"/>
        </w:rPr>
      </w:pPr>
      <w:bookmarkStart w:id="11" w:name="_Toc117886745"/>
      <w:r w:rsidRPr="00A91499">
        <w:rPr>
          <w:lang w:val="fr-CA"/>
        </w:rPr>
        <w:t>Consultations individuelles</w:t>
      </w:r>
      <w:bookmarkEnd w:id="11"/>
      <w:r w:rsidRPr="00A91499">
        <w:rPr>
          <w:lang w:val="fr-CA"/>
        </w:rPr>
        <w:t xml:space="preserve"> </w:t>
      </w:r>
    </w:p>
    <w:p w14:paraId="75E111DA" w14:textId="77777777" w:rsidR="00B13846" w:rsidRPr="00020975" w:rsidRDefault="00B13846" w:rsidP="00B13846">
      <w:pPr>
        <w:rPr>
          <w:lang w:val="fr-CA"/>
        </w:rPr>
      </w:pPr>
      <w:r w:rsidRPr="00001A0B">
        <w:rPr>
          <w:lang w:val="fr-CA"/>
        </w:rPr>
        <w:t xml:space="preserve">Nous avons mené des consultations individuelles approfondies auprès des sénateurs et des membres du personnel </w:t>
      </w:r>
      <w:r>
        <w:rPr>
          <w:lang w:val="fr-CA"/>
        </w:rPr>
        <w:t>en situation de handicap</w:t>
      </w:r>
      <w:r w:rsidRPr="00001A0B">
        <w:rPr>
          <w:lang w:val="fr-CA"/>
        </w:rPr>
        <w:t xml:space="preserve"> qui se sont portés volontaires pour participer. Ces personnes ont des </w:t>
      </w:r>
      <w:r>
        <w:rPr>
          <w:lang w:val="fr-CA"/>
        </w:rPr>
        <w:t>handicaps</w:t>
      </w:r>
      <w:r w:rsidRPr="00001A0B">
        <w:rPr>
          <w:lang w:val="fr-CA"/>
        </w:rPr>
        <w:t xml:space="preserve"> visuels, auditi</w:t>
      </w:r>
      <w:r>
        <w:rPr>
          <w:lang w:val="fr-CA"/>
        </w:rPr>
        <w:t>f</w:t>
      </w:r>
      <w:r w:rsidRPr="00001A0B">
        <w:rPr>
          <w:lang w:val="fr-CA"/>
        </w:rPr>
        <w:t>s, physiques et cogniti</w:t>
      </w:r>
      <w:r>
        <w:rPr>
          <w:lang w:val="fr-CA"/>
        </w:rPr>
        <w:t>f</w:t>
      </w:r>
      <w:r w:rsidRPr="00001A0B">
        <w:rPr>
          <w:lang w:val="fr-CA"/>
        </w:rPr>
        <w:t xml:space="preserve">s. </w:t>
      </w:r>
      <w:r w:rsidRPr="00EC0CD0">
        <w:rPr>
          <w:lang w:val="fr-CA"/>
        </w:rPr>
        <w:t xml:space="preserve">Au cours de conversations informelles, nous avons demandé à ces personnes de nous faire </w:t>
      </w:r>
      <w:r w:rsidRPr="00001A0B">
        <w:rPr>
          <w:lang w:val="fr-CA"/>
        </w:rPr>
        <w:lastRenderedPageBreak/>
        <w:t>part de leurs réflexions et de leurs commentaires pour chacun des domaines identifiés à l</w:t>
      </w:r>
      <w:r>
        <w:rPr>
          <w:lang w:val="fr-CA"/>
        </w:rPr>
        <w:t>’</w:t>
      </w:r>
      <w:r w:rsidRPr="00001A0B">
        <w:rPr>
          <w:lang w:val="fr-CA"/>
        </w:rPr>
        <w:t>article</w:t>
      </w:r>
      <w:r>
        <w:rPr>
          <w:lang w:val="fr-CA"/>
        </w:rPr>
        <w:t> </w:t>
      </w:r>
      <w:r w:rsidRPr="00001A0B">
        <w:rPr>
          <w:lang w:val="fr-CA"/>
        </w:rPr>
        <w:t xml:space="preserve">5 de la </w:t>
      </w:r>
      <w:r w:rsidRPr="00001A0B">
        <w:rPr>
          <w:i/>
          <w:iCs/>
          <w:lang w:val="fr-CA"/>
        </w:rPr>
        <w:t xml:space="preserve">Loi </w:t>
      </w:r>
      <w:r>
        <w:rPr>
          <w:i/>
          <w:iCs/>
          <w:lang w:val="fr-CA"/>
        </w:rPr>
        <w:t xml:space="preserve">canadienne </w:t>
      </w:r>
      <w:r w:rsidRPr="00001A0B">
        <w:rPr>
          <w:i/>
          <w:iCs/>
          <w:lang w:val="fr-CA"/>
        </w:rPr>
        <w:t>sur l</w:t>
      </w:r>
      <w:r>
        <w:rPr>
          <w:i/>
          <w:iCs/>
          <w:lang w:val="fr-CA"/>
        </w:rPr>
        <w:t>’</w:t>
      </w:r>
      <w:r w:rsidRPr="00001A0B">
        <w:rPr>
          <w:i/>
          <w:iCs/>
          <w:lang w:val="fr-CA"/>
        </w:rPr>
        <w:t>accessibilité</w:t>
      </w:r>
      <w:r w:rsidRPr="00001A0B">
        <w:rPr>
          <w:lang w:val="fr-CA"/>
        </w:rPr>
        <w:t>.</w:t>
      </w:r>
      <w:r w:rsidRPr="00020975">
        <w:rPr>
          <w:lang w:val="fr-CA"/>
        </w:rPr>
        <w:t xml:space="preserve"> </w:t>
      </w:r>
    </w:p>
    <w:p w14:paraId="5676D1E1" w14:textId="77777777" w:rsidR="00B13846" w:rsidRPr="00020975" w:rsidRDefault="00B13846" w:rsidP="00B13846">
      <w:pPr>
        <w:rPr>
          <w:lang w:val="fr-CA"/>
        </w:rPr>
      </w:pPr>
      <w:r w:rsidRPr="00622A5F">
        <w:rPr>
          <w:lang w:val="fr-CA"/>
        </w:rPr>
        <w:t>Les personnes que nous avons consultées ont identifié des obstacles spécifiques dans l</w:t>
      </w:r>
      <w:r>
        <w:rPr>
          <w:lang w:val="fr-CA"/>
        </w:rPr>
        <w:t>’</w:t>
      </w:r>
      <w:r w:rsidRPr="00622A5F">
        <w:rPr>
          <w:lang w:val="fr-CA"/>
        </w:rPr>
        <w:t>environnement bâti et ont également été en mesure de signaler des obstacles pour ce qui est de l</w:t>
      </w:r>
      <w:r>
        <w:rPr>
          <w:lang w:val="fr-CA"/>
        </w:rPr>
        <w:t>’</w:t>
      </w:r>
      <w:r w:rsidRPr="00622A5F">
        <w:rPr>
          <w:lang w:val="fr-CA"/>
        </w:rPr>
        <w:t xml:space="preserve">information et de la communication. </w:t>
      </w:r>
      <w:r w:rsidRPr="00EC0CD0">
        <w:rPr>
          <w:lang w:val="fr-CA"/>
        </w:rPr>
        <w:t>Elles ont également fait des suggestions sur la façon</w:t>
      </w:r>
      <w:r w:rsidRPr="00622A5F">
        <w:rPr>
          <w:lang w:val="fr-CA"/>
        </w:rPr>
        <w:t xml:space="preserve"> d</w:t>
      </w:r>
      <w:r>
        <w:rPr>
          <w:lang w:val="fr-CA"/>
        </w:rPr>
        <w:t>’</w:t>
      </w:r>
      <w:r w:rsidRPr="00622A5F">
        <w:rPr>
          <w:lang w:val="fr-CA"/>
        </w:rPr>
        <w:t>éliminer les obstacles et d</w:t>
      </w:r>
      <w:r>
        <w:rPr>
          <w:lang w:val="fr-CA"/>
        </w:rPr>
        <w:t>’</w:t>
      </w:r>
      <w:r w:rsidRPr="00622A5F">
        <w:rPr>
          <w:lang w:val="fr-CA"/>
        </w:rPr>
        <w:t>accroître l</w:t>
      </w:r>
      <w:r>
        <w:rPr>
          <w:lang w:val="fr-CA"/>
        </w:rPr>
        <w:t>’</w:t>
      </w:r>
      <w:r w:rsidRPr="00622A5F">
        <w:rPr>
          <w:lang w:val="fr-CA"/>
        </w:rPr>
        <w:t>accessibilité dans l</w:t>
      </w:r>
      <w:r>
        <w:rPr>
          <w:lang w:val="fr-CA"/>
        </w:rPr>
        <w:t>’</w:t>
      </w:r>
      <w:r w:rsidRPr="00622A5F">
        <w:rPr>
          <w:lang w:val="fr-CA"/>
        </w:rPr>
        <w:t>ensemble de l</w:t>
      </w:r>
      <w:r>
        <w:rPr>
          <w:lang w:val="fr-CA"/>
        </w:rPr>
        <w:t>’</w:t>
      </w:r>
      <w:r w:rsidRPr="00622A5F">
        <w:rPr>
          <w:lang w:val="fr-CA"/>
        </w:rPr>
        <w:t xml:space="preserve">organisation. Nombre de ces suggestions se reflètent dans </w:t>
      </w:r>
      <w:r w:rsidRPr="00EC0CD0">
        <w:rPr>
          <w:lang w:val="fr-CA"/>
        </w:rPr>
        <w:t>le plan du Sénat visant à améliorer l</w:t>
      </w:r>
      <w:r>
        <w:rPr>
          <w:lang w:val="fr-CA"/>
        </w:rPr>
        <w:t>’</w:t>
      </w:r>
      <w:r w:rsidRPr="00EC0CD0">
        <w:rPr>
          <w:lang w:val="fr-CA"/>
        </w:rPr>
        <w:t>accessibilité au cours des trois prochaines années</w:t>
      </w:r>
      <w:r w:rsidRPr="00020975">
        <w:rPr>
          <w:lang w:val="fr-CA"/>
        </w:rPr>
        <w:t xml:space="preserve">. </w:t>
      </w:r>
    </w:p>
    <w:p w14:paraId="275E7DFB" w14:textId="77777777" w:rsidR="00B13846" w:rsidRPr="003B002D" w:rsidRDefault="00B13846" w:rsidP="00B13846">
      <w:pPr>
        <w:pStyle w:val="Heading2"/>
        <w:rPr>
          <w:lang w:val="fr-CA"/>
        </w:rPr>
      </w:pPr>
      <w:bookmarkStart w:id="12" w:name="_Toc117886746"/>
      <w:r w:rsidRPr="003B002D">
        <w:rPr>
          <w:lang w:val="fr-CA"/>
        </w:rPr>
        <w:t xml:space="preserve">Consultations auprès des </w:t>
      </w:r>
      <w:r>
        <w:rPr>
          <w:lang w:val="fr-CA"/>
        </w:rPr>
        <w:t>intervenants</w:t>
      </w:r>
      <w:r w:rsidRPr="003B002D">
        <w:rPr>
          <w:lang w:val="fr-CA"/>
        </w:rPr>
        <w:t xml:space="preserve"> </w:t>
      </w:r>
      <w:r>
        <w:rPr>
          <w:lang w:val="fr-CA"/>
        </w:rPr>
        <w:t>en situation de handicap</w:t>
      </w:r>
      <w:bookmarkEnd w:id="12"/>
      <w:r w:rsidRPr="003B002D">
        <w:rPr>
          <w:lang w:val="fr-CA"/>
        </w:rPr>
        <w:t xml:space="preserve"> </w:t>
      </w:r>
    </w:p>
    <w:p w14:paraId="6F13C678" w14:textId="77777777" w:rsidR="00B13846" w:rsidRPr="001D6537" w:rsidRDefault="00B13846" w:rsidP="00B13846">
      <w:pPr>
        <w:rPr>
          <w:lang w:val="fr-CA"/>
        </w:rPr>
      </w:pPr>
      <w:r w:rsidRPr="00EC0CD0">
        <w:rPr>
          <w:lang w:val="fr-CA"/>
        </w:rPr>
        <w:t>Pour décider qui consulter dans le cadre de la préparation de ce plan d</w:t>
      </w:r>
      <w:r>
        <w:rPr>
          <w:lang w:val="fr-CA"/>
        </w:rPr>
        <w:t>’</w:t>
      </w:r>
      <w:r w:rsidRPr="00EC0CD0">
        <w:rPr>
          <w:lang w:val="fr-CA"/>
        </w:rPr>
        <w:t>accessibilité, nous avons dû considérer qui est touché par les activités du Sénat et qui serait susceptible de rencontrer un obstacle lors de ses interactions avec le Sénat. Bien que le travail effectué au Sénat se fasse au nom de tous les Canadiens, de nombreuses personnes n</w:t>
      </w:r>
      <w:r>
        <w:rPr>
          <w:lang w:val="fr-CA"/>
        </w:rPr>
        <w:t>’</w:t>
      </w:r>
      <w:r w:rsidRPr="00EC0CD0">
        <w:rPr>
          <w:lang w:val="fr-CA"/>
        </w:rPr>
        <w:t>interagissent pas directement ou régulièrement avec le Sénat et seraient donc incapables de reconnaître la plupart des obstacles à l</w:t>
      </w:r>
      <w:r>
        <w:rPr>
          <w:lang w:val="fr-CA"/>
        </w:rPr>
        <w:t>’</w:t>
      </w:r>
      <w:r w:rsidRPr="00EC0CD0">
        <w:rPr>
          <w:lang w:val="fr-CA"/>
        </w:rPr>
        <w:t>accessibilité au Sénat</w:t>
      </w:r>
      <w:r w:rsidRPr="001D6537">
        <w:rPr>
          <w:lang w:val="fr-CA"/>
        </w:rPr>
        <w:t>.</w:t>
      </w:r>
    </w:p>
    <w:p w14:paraId="64B1E3F3" w14:textId="77777777" w:rsidR="00B13846" w:rsidRPr="001D6537" w:rsidRDefault="00B13846" w:rsidP="00B13846">
      <w:pPr>
        <w:rPr>
          <w:lang w:val="fr-CA"/>
        </w:rPr>
      </w:pPr>
      <w:r w:rsidRPr="001D6537">
        <w:rPr>
          <w:lang w:val="fr-CA"/>
        </w:rPr>
        <w:t xml:space="preserve">Pour ces raisons, nous avons choisi de consulter des organisations qui représentent les </w:t>
      </w:r>
      <w:r>
        <w:rPr>
          <w:lang w:val="fr-CA"/>
        </w:rPr>
        <w:t>personnes en situation de handicap</w:t>
      </w:r>
      <w:r w:rsidRPr="001D6537">
        <w:rPr>
          <w:lang w:val="fr-CA"/>
        </w:rPr>
        <w:t>. Ces groupes ont une connaissance approfondie des obstacles à l</w:t>
      </w:r>
      <w:r>
        <w:rPr>
          <w:lang w:val="fr-CA"/>
        </w:rPr>
        <w:t>’</w:t>
      </w:r>
      <w:r w:rsidRPr="001D6537">
        <w:rPr>
          <w:lang w:val="fr-CA"/>
        </w:rPr>
        <w:t>accessibilité et sont également susceptibles d</w:t>
      </w:r>
      <w:r>
        <w:rPr>
          <w:lang w:val="fr-CA"/>
        </w:rPr>
        <w:t>’</w:t>
      </w:r>
      <w:r w:rsidRPr="001D6537">
        <w:rPr>
          <w:lang w:val="fr-CA"/>
        </w:rPr>
        <w:t>avoir une expérience de l</w:t>
      </w:r>
      <w:r>
        <w:rPr>
          <w:lang w:val="fr-CA"/>
        </w:rPr>
        <w:t>’</w:t>
      </w:r>
      <w:r w:rsidRPr="001D6537">
        <w:rPr>
          <w:lang w:val="fr-CA"/>
        </w:rPr>
        <w:t>interaction avec le Sénat, car ils ont participé à des audiences des comités. Nous avons organisé des réunions virtuelles avec des représentants</w:t>
      </w:r>
      <w:r>
        <w:rPr>
          <w:lang w:val="fr-CA"/>
        </w:rPr>
        <w:t> — </w:t>
      </w:r>
      <w:r w:rsidRPr="001D6537">
        <w:rPr>
          <w:lang w:val="fr-CA"/>
        </w:rPr>
        <w:t xml:space="preserve">dont certains sont des </w:t>
      </w:r>
      <w:r>
        <w:rPr>
          <w:lang w:val="fr-CA"/>
        </w:rPr>
        <w:t>personnes en situation de handicap —</w:t>
      </w:r>
      <w:r w:rsidRPr="001D6537">
        <w:rPr>
          <w:lang w:val="fr-CA"/>
        </w:rPr>
        <w:t xml:space="preserve"> des groupes suivants</w:t>
      </w:r>
      <w:r>
        <w:rPr>
          <w:lang w:val="fr-CA"/>
        </w:rPr>
        <w:t> </w:t>
      </w:r>
      <w:r w:rsidRPr="001D6537">
        <w:rPr>
          <w:lang w:val="fr-CA"/>
        </w:rPr>
        <w:t>:</w:t>
      </w:r>
    </w:p>
    <w:p w14:paraId="1782D2F2" w14:textId="77777777" w:rsidR="00B13846" w:rsidRPr="001F7D21" w:rsidRDefault="00B13846" w:rsidP="00B13846">
      <w:pPr>
        <w:pStyle w:val="Bodybullets"/>
        <w:rPr>
          <w:lang w:val="fr-CA"/>
        </w:rPr>
      </w:pPr>
      <w:r w:rsidRPr="001F7D21">
        <w:rPr>
          <w:b/>
          <w:bCs/>
          <w:lang w:val="fr-CA"/>
        </w:rPr>
        <w:t>Inclusion Canada</w:t>
      </w:r>
      <w:r w:rsidRPr="001F7D21">
        <w:rPr>
          <w:lang w:val="fr-CA"/>
        </w:rPr>
        <w:t xml:space="preserve"> — Autrefois connue sous le nom d’Association canadienne pour l’intégration communautaire, Inclusion Canada ouvre la voie à la construction d’un Canada inclusif pour les personnes ayant une déficience intellectuelle et pour leurs familles. </w:t>
      </w:r>
    </w:p>
    <w:p w14:paraId="10E35673" w14:textId="77777777" w:rsidR="00B13846" w:rsidRPr="001F7D21" w:rsidRDefault="00B13846" w:rsidP="00B13846">
      <w:pPr>
        <w:pStyle w:val="Bodybullets"/>
        <w:rPr>
          <w:lang w:val="fr-CA"/>
        </w:rPr>
      </w:pPr>
      <w:r w:rsidRPr="001F7D21">
        <w:rPr>
          <w:b/>
          <w:bCs/>
          <w:lang w:val="fr-CA"/>
        </w:rPr>
        <w:t>Fondation INCA</w:t>
      </w:r>
      <w:r w:rsidRPr="001F7D21">
        <w:rPr>
          <w:lang w:val="fr-CA"/>
        </w:rPr>
        <w:t xml:space="preserve"> — Autrefois connue sous le nom d’Institut national canadien pour les aveugles, la Fondation INCA est un organisme sans but lucratif qui </w:t>
      </w:r>
      <w:r w:rsidRPr="001F7D21">
        <w:rPr>
          <w:lang w:val="fr-CA"/>
        </w:rPr>
        <w:lastRenderedPageBreak/>
        <w:t xml:space="preserve">vise à changer ce que cela veut dire que d’être aveugle dans la société d’aujourd’hui. </w:t>
      </w:r>
    </w:p>
    <w:p w14:paraId="7C7826A8" w14:textId="77777777" w:rsidR="00B13846" w:rsidRPr="001F7D21" w:rsidRDefault="00B13846" w:rsidP="00B13846">
      <w:pPr>
        <w:pStyle w:val="Bodybullets"/>
        <w:rPr>
          <w:lang w:val="fr-CA"/>
        </w:rPr>
      </w:pPr>
      <w:r w:rsidRPr="001F7D21">
        <w:rPr>
          <w:b/>
          <w:bCs/>
          <w:lang w:val="fr-CA"/>
        </w:rPr>
        <w:t xml:space="preserve">ARCH </w:t>
      </w:r>
      <w:proofErr w:type="spellStart"/>
      <w:r w:rsidRPr="001F7D21">
        <w:rPr>
          <w:b/>
          <w:bCs/>
          <w:lang w:val="fr-CA"/>
        </w:rPr>
        <w:t>Disability</w:t>
      </w:r>
      <w:proofErr w:type="spellEnd"/>
      <w:r w:rsidRPr="001F7D21">
        <w:rPr>
          <w:b/>
          <w:bCs/>
          <w:lang w:val="fr-CA"/>
        </w:rPr>
        <w:t xml:space="preserve"> Law Centre</w:t>
      </w:r>
      <w:r w:rsidRPr="001F7D21">
        <w:rPr>
          <w:lang w:val="fr-CA"/>
        </w:rPr>
        <w:t xml:space="preserve"> — ARCH est une clinique juridique spécialisée qui pratique exclusivement dans le droit des droits des personnes ayant un handicap.</w:t>
      </w:r>
    </w:p>
    <w:p w14:paraId="286FF3AB" w14:textId="77777777" w:rsidR="00B13846" w:rsidRPr="001F7D21" w:rsidRDefault="00B13846" w:rsidP="00B13846">
      <w:pPr>
        <w:pStyle w:val="Bodybullets"/>
        <w:rPr>
          <w:lang w:val="fr-CA"/>
        </w:rPr>
      </w:pPr>
      <w:proofErr w:type="spellStart"/>
      <w:r w:rsidRPr="001F7D21">
        <w:rPr>
          <w:b/>
          <w:bCs/>
          <w:lang w:val="fr-CA"/>
        </w:rPr>
        <w:t>Wavefront</w:t>
      </w:r>
      <w:proofErr w:type="spellEnd"/>
      <w:r w:rsidRPr="001F7D21">
        <w:rPr>
          <w:b/>
          <w:bCs/>
          <w:lang w:val="fr-CA"/>
        </w:rPr>
        <w:t xml:space="preserve"> Centre for Communication Accessibility</w:t>
      </w:r>
      <w:r w:rsidRPr="001F7D21">
        <w:rPr>
          <w:lang w:val="fr-CA"/>
        </w:rPr>
        <w:t xml:space="preserve"> — Le centre </w:t>
      </w:r>
      <w:proofErr w:type="spellStart"/>
      <w:r w:rsidRPr="001F7D21">
        <w:rPr>
          <w:lang w:val="fr-CA"/>
        </w:rPr>
        <w:t>Wavefront</w:t>
      </w:r>
      <w:proofErr w:type="spellEnd"/>
      <w:r w:rsidRPr="001F7D21">
        <w:rPr>
          <w:lang w:val="fr-CA"/>
        </w:rPr>
        <w:t xml:space="preserve"> est un organisme de bienfaisance enregistré dont l’objectif est de réduire les obstacles à la communication en permettant l’accès et l’inclusion des personnes sourdes et malentendantes. </w:t>
      </w:r>
    </w:p>
    <w:p w14:paraId="69E3ABAE" w14:textId="77777777" w:rsidR="00B13846" w:rsidRPr="00E611A1" w:rsidRDefault="00B13846" w:rsidP="00B13846">
      <w:pPr>
        <w:rPr>
          <w:lang w:val="fr-CA"/>
        </w:rPr>
      </w:pPr>
      <w:r w:rsidRPr="00E611A1">
        <w:rPr>
          <w:lang w:val="fr-CA"/>
        </w:rPr>
        <w:t xml:space="preserve">Au cours de chacune de ces quatre réunions de consultation, nous avons posé une série de questions </w:t>
      </w:r>
      <w:r>
        <w:rPr>
          <w:lang w:val="fr-CA"/>
        </w:rPr>
        <w:t>communes</w:t>
      </w:r>
      <w:r w:rsidRPr="00E611A1">
        <w:rPr>
          <w:lang w:val="fr-CA"/>
        </w:rPr>
        <w:t xml:space="preserve">. Cependant, nous avons laissé la conversation se dérouler le plus naturellement possible pour les personnes que nous consultions. </w:t>
      </w:r>
    </w:p>
    <w:p w14:paraId="5E3E13C4" w14:textId="77777777" w:rsidR="00B13846" w:rsidRPr="00E72048" w:rsidRDefault="00B13846" w:rsidP="00B13846">
      <w:pPr>
        <w:rPr>
          <w:lang w:val="fr-CA"/>
        </w:rPr>
      </w:pPr>
      <w:r w:rsidRPr="00E72048">
        <w:rPr>
          <w:lang w:val="fr-CA"/>
        </w:rPr>
        <w:t>Les informations recueillies au cours de ces consultations nous ont permis d</w:t>
      </w:r>
      <w:r>
        <w:rPr>
          <w:lang w:val="fr-CA"/>
        </w:rPr>
        <w:t>’</w:t>
      </w:r>
      <w:r w:rsidRPr="00E72048">
        <w:rPr>
          <w:lang w:val="fr-CA"/>
        </w:rPr>
        <w:t>identifier les obstacles dans les processus parlementaires et les obstacles rencontrés par les visiteurs du Sénat. Bon nombre des personnes avec lesquelles nous nous sommes entretenus ont signalé certains obstacles à l</w:t>
      </w:r>
      <w:r>
        <w:rPr>
          <w:lang w:val="fr-CA"/>
        </w:rPr>
        <w:t>’</w:t>
      </w:r>
      <w:r w:rsidRPr="00E72048">
        <w:rPr>
          <w:lang w:val="fr-CA"/>
        </w:rPr>
        <w:t xml:space="preserve">accessibilité lors de leur participation aux procédures législatives, tels que les limites de temps pour les orateurs ou les délais extrêmement courts pour soumettre des commentaires. Leur contribution est prise en compte dans </w:t>
      </w:r>
      <w:r>
        <w:rPr>
          <w:lang w:val="fr-CA"/>
        </w:rPr>
        <w:t>le plan du Sénat</w:t>
      </w:r>
      <w:r w:rsidRPr="00E72048">
        <w:rPr>
          <w:lang w:val="fr-CA"/>
        </w:rPr>
        <w:t xml:space="preserve"> visant à améliorer l</w:t>
      </w:r>
      <w:r>
        <w:rPr>
          <w:lang w:val="fr-CA"/>
        </w:rPr>
        <w:t>’</w:t>
      </w:r>
      <w:r w:rsidRPr="00E72048">
        <w:rPr>
          <w:lang w:val="fr-CA"/>
        </w:rPr>
        <w:t>accessibilité au cours des trois prochaines années.</w:t>
      </w:r>
    </w:p>
    <w:p w14:paraId="4F844B02" w14:textId="54A8E858" w:rsidR="00591AEC" w:rsidRPr="001F7D21" w:rsidRDefault="007049F0" w:rsidP="00911C8D">
      <w:pPr>
        <w:pStyle w:val="Heading1"/>
        <w:rPr>
          <w:lang w:val="fr-CA"/>
        </w:rPr>
      </w:pPr>
      <w:bookmarkStart w:id="13" w:name="_Toc117886747"/>
      <w:r w:rsidRPr="001F7D21">
        <w:rPr>
          <w:lang w:val="fr-CA"/>
        </w:rPr>
        <w:t>Domaines décrits à l’article</w:t>
      </w:r>
      <w:r w:rsidR="00BE74F0" w:rsidRPr="001F7D21">
        <w:rPr>
          <w:lang w:val="fr-CA"/>
        </w:rPr>
        <w:t> </w:t>
      </w:r>
      <w:r w:rsidRPr="001F7D21">
        <w:rPr>
          <w:lang w:val="fr-CA"/>
        </w:rPr>
        <w:t xml:space="preserve">5 de la </w:t>
      </w:r>
      <w:r w:rsidRPr="001F7D21">
        <w:rPr>
          <w:i/>
          <w:iCs/>
          <w:lang w:val="fr-CA"/>
        </w:rPr>
        <w:t xml:space="preserve">Loi </w:t>
      </w:r>
      <w:r w:rsidR="008D13F9" w:rsidRPr="001F7D21">
        <w:rPr>
          <w:i/>
          <w:iCs/>
          <w:lang w:val="fr-CA"/>
        </w:rPr>
        <w:t xml:space="preserve">canadienne </w:t>
      </w:r>
      <w:r w:rsidRPr="001F7D21">
        <w:rPr>
          <w:i/>
          <w:iCs/>
          <w:lang w:val="fr-CA"/>
        </w:rPr>
        <w:t>sur l’accessibilité</w:t>
      </w:r>
      <w:bookmarkEnd w:id="13"/>
      <w:r w:rsidR="00591AEC" w:rsidRPr="001F7D21">
        <w:rPr>
          <w:lang w:val="fr-CA"/>
        </w:rPr>
        <w:t xml:space="preserve"> </w:t>
      </w:r>
    </w:p>
    <w:p w14:paraId="53D3D837" w14:textId="11EC10D2" w:rsidR="00591AEC" w:rsidRPr="00020975" w:rsidRDefault="00AA2378" w:rsidP="00911C8D">
      <w:pPr>
        <w:pStyle w:val="Heading2"/>
        <w:rPr>
          <w:lang w:val="fr-CA"/>
        </w:rPr>
      </w:pPr>
      <w:bookmarkStart w:id="14" w:name="_Toc117886748"/>
      <w:r>
        <w:rPr>
          <w:lang w:val="fr-CA"/>
        </w:rPr>
        <w:lastRenderedPageBreak/>
        <w:t>E</w:t>
      </w:r>
      <w:r w:rsidR="00C14A0F">
        <w:rPr>
          <w:lang w:val="fr-CA"/>
        </w:rPr>
        <w:t>nvironnement bâti</w:t>
      </w:r>
      <w:bookmarkEnd w:id="14"/>
    </w:p>
    <w:p w14:paraId="0DC81670" w14:textId="5D64AF6B" w:rsidR="00D537E8" w:rsidRPr="0003325B" w:rsidRDefault="00C14A0F" w:rsidP="00911C8D">
      <w:pPr>
        <w:pStyle w:val="Heading3"/>
      </w:pPr>
      <w:bookmarkStart w:id="15" w:name="_Toc117886749"/>
      <w:r w:rsidRPr="0003325B">
        <w:t>Aperçu</w:t>
      </w:r>
      <w:bookmarkEnd w:id="15"/>
    </w:p>
    <w:p w14:paraId="7D7FDD5C" w14:textId="6A65EE4D" w:rsidR="00102562" w:rsidRDefault="008F0EE1" w:rsidP="002B41A6">
      <w:pPr>
        <w:rPr>
          <w:lang w:val="fr-CA"/>
        </w:rPr>
      </w:pPr>
      <w:r w:rsidRPr="000B56B1">
        <w:rPr>
          <w:lang w:val="fr-CA"/>
        </w:rPr>
        <w:t>L’accessibilité de l’environnement bâti</w:t>
      </w:r>
      <w:r w:rsidR="000B56B1" w:rsidRPr="000B56B1">
        <w:rPr>
          <w:lang w:val="fr-CA"/>
        </w:rPr>
        <w:t xml:space="preserve"> </w:t>
      </w:r>
      <w:r w:rsidR="00E345CF">
        <w:rPr>
          <w:lang w:val="fr-CA"/>
        </w:rPr>
        <w:t>influe considérablement sur la capacité</w:t>
      </w:r>
      <w:r w:rsidR="000B56B1">
        <w:rPr>
          <w:lang w:val="fr-CA"/>
        </w:rPr>
        <w:t xml:space="preserve"> </w:t>
      </w:r>
      <w:r w:rsidR="00E345CF">
        <w:rPr>
          <w:lang w:val="fr-CA"/>
        </w:rPr>
        <w:t>d</w:t>
      </w:r>
      <w:r w:rsidR="000B56B1">
        <w:rPr>
          <w:lang w:val="fr-CA"/>
        </w:rPr>
        <w:t xml:space="preserve">es </w:t>
      </w:r>
      <w:r w:rsidR="0031675D">
        <w:rPr>
          <w:lang w:val="fr-CA"/>
        </w:rPr>
        <w:t xml:space="preserve">personnes </w:t>
      </w:r>
      <w:r w:rsidR="00AD6B7C">
        <w:rPr>
          <w:lang w:val="fr-CA"/>
        </w:rPr>
        <w:t>en situation de handicap</w:t>
      </w:r>
      <w:r w:rsidR="000B56B1">
        <w:rPr>
          <w:lang w:val="fr-CA"/>
        </w:rPr>
        <w:t xml:space="preserve"> </w:t>
      </w:r>
      <w:r w:rsidR="00E345CF">
        <w:rPr>
          <w:lang w:val="fr-CA"/>
        </w:rPr>
        <w:t xml:space="preserve">à </w:t>
      </w:r>
      <w:r w:rsidR="000B56B1">
        <w:rPr>
          <w:lang w:val="fr-CA"/>
        </w:rPr>
        <w:t xml:space="preserve">accéder et utiliser l’espace de façon équitable avec ceux qui n’ont pas de handicap. </w:t>
      </w:r>
      <w:r w:rsidR="000B56B1" w:rsidRPr="000B56B1">
        <w:rPr>
          <w:lang w:val="fr-CA"/>
        </w:rPr>
        <w:t>Le principal lieu où le Sénat mène la plupart de ses activités est l</w:t>
      </w:r>
      <w:r w:rsidR="00F976EE">
        <w:rPr>
          <w:lang w:val="fr-CA"/>
        </w:rPr>
        <w:t>’</w:t>
      </w:r>
      <w:r w:rsidR="000B56B1" w:rsidRPr="000B56B1">
        <w:rPr>
          <w:lang w:val="fr-CA"/>
        </w:rPr>
        <w:t>édifice du Sénat du Canada</w:t>
      </w:r>
      <w:r w:rsidR="000B56B1">
        <w:rPr>
          <w:lang w:val="fr-CA"/>
        </w:rPr>
        <w:t>, qui a été ouvert en 2019 après six ans de rénovations</w:t>
      </w:r>
      <w:r w:rsidR="00980F0F" w:rsidRPr="000B56B1">
        <w:rPr>
          <w:lang w:val="fr-CA"/>
        </w:rPr>
        <w:t xml:space="preserve">. </w:t>
      </w:r>
      <w:r w:rsidR="00EC77C3" w:rsidRPr="00EC77C3">
        <w:rPr>
          <w:lang w:val="fr-CA"/>
        </w:rPr>
        <w:t>Nous utilisons aussi d’autres bâtiments et bureaux dans la ré</w:t>
      </w:r>
      <w:r w:rsidR="00EC77C3">
        <w:rPr>
          <w:lang w:val="fr-CA"/>
        </w:rPr>
        <w:t>gion de la capitale nationale.</w:t>
      </w:r>
      <w:r w:rsidR="007F2BF7" w:rsidRPr="00EC77C3">
        <w:rPr>
          <w:lang w:val="fr-CA"/>
        </w:rPr>
        <w:t xml:space="preserve"> </w:t>
      </w:r>
    </w:p>
    <w:p w14:paraId="362AD6B8" w14:textId="0B880DA3" w:rsidR="0007274D" w:rsidRPr="00EC77C3" w:rsidRDefault="00EC77C3" w:rsidP="002B41A6">
      <w:pPr>
        <w:rPr>
          <w:lang w:val="fr-CA"/>
        </w:rPr>
      </w:pPr>
      <w:r w:rsidRPr="00EC77C3">
        <w:rPr>
          <w:lang w:val="fr-CA"/>
        </w:rPr>
        <w:t xml:space="preserve">Nous travaillons </w:t>
      </w:r>
      <w:r>
        <w:rPr>
          <w:lang w:val="fr-CA"/>
        </w:rPr>
        <w:t>étroitement</w:t>
      </w:r>
      <w:r w:rsidRPr="00EC77C3">
        <w:rPr>
          <w:lang w:val="fr-CA"/>
        </w:rPr>
        <w:t xml:space="preserve"> avec Services publics et Approvisionnement Canada (SPAC) pour faire en sorte que notre environnement bâti soit accessible à tous.</w:t>
      </w:r>
    </w:p>
    <w:p w14:paraId="5D78110E" w14:textId="74FB4C03" w:rsidR="00D537E8" w:rsidRPr="002B41A6" w:rsidRDefault="00EA00CF" w:rsidP="00911C8D">
      <w:pPr>
        <w:pStyle w:val="Heading3"/>
      </w:pPr>
      <w:bookmarkStart w:id="16" w:name="_Toc117886750"/>
      <w:r w:rsidRPr="002B41A6">
        <w:t xml:space="preserve">État </w:t>
      </w:r>
      <w:proofErr w:type="spellStart"/>
      <w:r w:rsidRPr="002B41A6">
        <w:t>actuel</w:t>
      </w:r>
      <w:proofErr w:type="spellEnd"/>
      <w:r w:rsidRPr="002B41A6">
        <w:t xml:space="preserve"> de </w:t>
      </w:r>
      <w:proofErr w:type="spellStart"/>
      <w:r w:rsidRPr="002B41A6">
        <w:t>l’accessibilité</w:t>
      </w:r>
      <w:bookmarkEnd w:id="16"/>
      <w:proofErr w:type="spellEnd"/>
    </w:p>
    <w:p w14:paraId="5F9D062B" w14:textId="4F0DC5D3" w:rsidR="00FE05AF" w:rsidRDefault="00C86E1D" w:rsidP="002B41A6">
      <w:pPr>
        <w:rPr>
          <w:lang w:val="fr-CA"/>
        </w:rPr>
      </w:pPr>
      <w:r>
        <w:rPr>
          <w:lang w:val="fr-CA"/>
        </w:rPr>
        <w:t xml:space="preserve">Dans le cadre de son mandat, SPAC a récemment mené des audits sur l’accessibilité à l’édifice du Sénat et à l’édifice de l’Est, où se trouvent de nombreux bureaux de sénateurs. </w:t>
      </w:r>
      <w:r w:rsidR="00FE05AF" w:rsidRPr="00FE05AF">
        <w:rPr>
          <w:lang w:val="fr-CA"/>
        </w:rPr>
        <w:t xml:space="preserve">Des obstacles ont été identifiés, et le Sénat travaille avec </w:t>
      </w:r>
      <w:r w:rsidR="00FE05AF">
        <w:rPr>
          <w:lang w:val="fr-CA"/>
        </w:rPr>
        <w:t>SPAC</w:t>
      </w:r>
      <w:r w:rsidR="00FE05AF" w:rsidRPr="00FE05AF">
        <w:rPr>
          <w:lang w:val="fr-CA"/>
        </w:rPr>
        <w:t xml:space="preserve"> pour les classer par ordre de priorité et aider à mettre en œuvre les mesures correctives nécessaires pour les </w:t>
      </w:r>
      <w:r w:rsidR="0031675D">
        <w:rPr>
          <w:lang w:val="fr-CA"/>
        </w:rPr>
        <w:t xml:space="preserve">personnes </w:t>
      </w:r>
      <w:r w:rsidR="00AD6B7C">
        <w:rPr>
          <w:lang w:val="fr-CA"/>
        </w:rPr>
        <w:t>en situation de handicap</w:t>
      </w:r>
      <w:r w:rsidR="00FE05AF" w:rsidRPr="00FE05AF">
        <w:rPr>
          <w:lang w:val="fr-CA"/>
        </w:rPr>
        <w:t>.</w:t>
      </w:r>
    </w:p>
    <w:p w14:paraId="5D52DB92" w14:textId="744D0ABA" w:rsidR="00FE05AF" w:rsidRDefault="00FE05AF" w:rsidP="002B41A6">
      <w:pPr>
        <w:rPr>
          <w:lang w:val="fr-CA"/>
        </w:rPr>
      </w:pPr>
      <w:r w:rsidRPr="00FE05AF">
        <w:rPr>
          <w:lang w:val="fr-CA"/>
        </w:rPr>
        <w:t>Le Sénat a créé des procédures d</w:t>
      </w:r>
      <w:r w:rsidR="00F976EE">
        <w:rPr>
          <w:lang w:val="fr-CA"/>
        </w:rPr>
        <w:t>’</w:t>
      </w:r>
      <w:r w:rsidRPr="00FE05AF">
        <w:rPr>
          <w:lang w:val="fr-CA"/>
        </w:rPr>
        <w:t>urgence qui tiennent compte d</w:t>
      </w:r>
      <w:r w:rsidR="00F976EE">
        <w:rPr>
          <w:lang w:val="fr-CA"/>
        </w:rPr>
        <w:t>’</w:t>
      </w:r>
      <w:r w:rsidRPr="00FE05AF">
        <w:rPr>
          <w:lang w:val="fr-CA"/>
        </w:rPr>
        <w:t xml:space="preserve">un large éventail de </w:t>
      </w:r>
      <w:r w:rsidR="0031675D">
        <w:rPr>
          <w:lang w:val="fr-CA"/>
        </w:rPr>
        <w:t xml:space="preserve">personnes </w:t>
      </w:r>
      <w:r w:rsidR="00AD6B7C">
        <w:rPr>
          <w:lang w:val="fr-CA"/>
        </w:rPr>
        <w:t>en situation de handicap</w:t>
      </w:r>
      <w:r w:rsidRPr="00FE05AF">
        <w:rPr>
          <w:lang w:val="fr-CA"/>
        </w:rPr>
        <w:t>.</w:t>
      </w:r>
      <w:r>
        <w:rPr>
          <w:lang w:val="fr-CA"/>
        </w:rPr>
        <w:t xml:space="preserve"> </w:t>
      </w:r>
      <w:r w:rsidRPr="00FE05AF">
        <w:rPr>
          <w:lang w:val="fr-CA"/>
        </w:rPr>
        <w:t xml:space="preserve">Les procédures comprennent les étapes que les membres du personnel du Sénat et les premiers intervenants doivent suivre pour aider les </w:t>
      </w:r>
      <w:r w:rsidR="0031675D">
        <w:rPr>
          <w:lang w:val="fr-CA"/>
        </w:rPr>
        <w:t xml:space="preserve">personnes </w:t>
      </w:r>
      <w:r w:rsidR="00AD6B7C">
        <w:rPr>
          <w:lang w:val="fr-CA"/>
        </w:rPr>
        <w:t>en situation de handicap</w:t>
      </w:r>
      <w:r w:rsidRPr="00FE05AF">
        <w:rPr>
          <w:lang w:val="fr-CA"/>
        </w:rPr>
        <w:t xml:space="preserve"> en cas d</w:t>
      </w:r>
      <w:r w:rsidR="00F976EE">
        <w:rPr>
          <w:lang w:val="fr-CA"/>
        </w:rPr>
        <w:t>’</w:t>
      </w:r>
      <w:r w:rsidRPr="00FE05AF">
        <w:rPr>
          <w:lang w:val="fr-CA"/>
        </w:rPr>
        <w:t>urgence. Il est nécessaire de poursuivre la formation du personnel et de renforcer ses connaissances afin de garantir que les membres du personnel du Sénat connaissent les plans d</w:t>
      </w:r>
      <w:r w:rsidR="00F976EE">
        <w:rPr>
          <w:lang w:val="fr-CA"/>
        </w:rPr>
        <w:t>’</w:t>
      </w:r>
      <w:r w:rsidRPr="00FE05AF">
        <w:rPr>
          <w:lang w:val="fr-CA"/>
        </w:rPr>
        <w:t>urgence et sachent qui est chargé d</w:t>
      </w:r>
      <w:r w:rsidR="00F976EE">
        <w:rPr>
          <w:lang w:val="fr-CA"/>
        </w:rPr>
        <w:t>’</w:t>
      </w:r>
      <w:r w:rsidRPr="00FE05AF">
        <w:rPr>
          <w:lang w:val="fr-CA"/>
        </w:rPr>
        <w:t>aider les membres du personnel ou les visiteurs à l</w:t>
      </w:r>
      <w:r w:rsidR="00F976EE">
        <w:rPr>
          <w:lang w:val="fr-CA"/>
        </w:rPr>
        <w:t>’</w:t>
      </w:r>
      <w:r w:rsidRPr="00FE05AF">
        <w:rPr>
          <w:lang w:val="fr-CA"/>
        </w:rPr>
        <w:t>intérieur de nos bâtiments et dans les environs immédiats en cas d</w:t>
      </w:r>
      <w:r w:rsidR="00F976EE">
        <w:rPr>
          <w:lang w:val="fr-CA"/>
        </w:rPr>
        <w:t>’</w:t>
      </w:r>
      <w:r w:rsidRPr="00FE05AF">
        <w:rPr>
          <w:lang w:val="fr-CA"/>
        </w:rPr>
        <w:t>urgence.</w:t>
      </w:r>
    </w:p>
    <w:p w14:paraId="63A13ACC" w14:textId="7D3D88E4" w:rsidR="00C15A7B" w:rsidRPr="00020975" w:rsidRDefault="00104C08" w:rsidP="00911C8D">
      <w:pPr>
        <w:pStyle w:val="Heading3"/>
        <w:rPr>
          <w:lang w:val="fr-CA"/>
        </w:rPr>
      </w:pPr>
      <w:bookmarkStart w:id="17" w:name="_Toc117886751"/>
      <w:r>
        <w:rPr>
          <w:lang w:val="fr-CA"/>
        </w:rPr>
        <w:t>O</w:t>
      </w:r>
      <w:r w:rsidRPr="00104C08">
        <w:rPr>
          <w:lang w:val="fr-CA"/>
        </w:rPr>
        <w:t>bjectifs en matière d’accessibilité</w:t>
      </w:r>
      <w:bookmarkEnd w:id="17"/>
    </w:p>
    <w:p w14:paraId="7EB22B38" w14:textId="0A15EC0E" w:rsidR="008875D6" w:rsidRPr="001F7D21" w:rsidRDefault="00104C08" w:rsidP="00911C8D">
      <w:pPr>
        <w:pStyle w:val="Bodynumberedlist"/>
        <w:rPr>
          <w:lang w:val="fr-CA"/>
        </w:rPr>
      </w:pPr>
      <w:r w:rsidRPr="001F7D21">
        <w:rPr>
          <w:lang w:val="fr-CA"/>
        </w:rPr>
        <w:t>Au cours des prochaines années, SPAC et le Sénat continueront de procéder à des vérifications de l</w:t>
      </w:r>
      <w:r w:rsidR="00F976EE" w:rsidRPr="001F7D21">
        <w:rPr>
          <w:lang w:val="fr-CA"/>
        </w:rPr>
        <w:t>’</w:t>
      </w:r>
      <w:r w:rsidRPr="001F7D21">
        <w:rPr>
          <w:lang w:val="fr-CA"/>
        </w:rPr>
        <w:t xml:space="preserve">environnement bâti. Au fur et à mesure que des obstacles </w:t>
      </w:r>
      <w:r w:rsidRPr="001F7D21">
        <w:rPr>
          <w:lang w:val="fr-CA"/>
        </w:rPr>
        <w:lastRenderedPageBreak/>
        <w:t xml:space="preserve">seront découverts, nous collaborerons avec SPAC pour les classer par ordre de priorité et prendre les mesures nécessaires pour les corriger ou les éliminer. </w:t>
      </w:r>
    </w:p>
    <w:p w14:paraId="3133ECDA" w14:textId="7CDF0B1E" w:rsidR="31E84F37" w:rsidRPr="001F7D21" w:rsidRDefault="00104C08" w:rsidP="00911C8D">
      <w:pPr>
        <w:pStyle w:val="Bodynumberedlist"/>
        <w:rPr>
          <w:lang w:val="fr-CA"/>
        </w:rPr>
      </w:pPr>
      <w:r w:rsidRPr="001F7D21">
        <w:rPr>
          <w:lang w:val="fr-CA"/>
        </w:rPr>
        <w:t>Au cours des prochaines années, le Sénat continuera de travailler avec SPAC pour améliorer les pratiques exemplaires et les lignes directrices en matière d</w:t>
      </w:r>
      <w:r w:rsidR="00F976EE" w:rsidRPr="001F7D21">
        <w:rPr>
          <w:lang w:val="fr-CA"/>
        </w:rPr>
        <w:t>’</w:t>
      </w:r>
      <w:r w:rsidRPr="001F7D21">
        <w:rPr>
          <w:lang w:val="fr-CA"/>
        </w:rPr>
        <w:t>accessibilité afin de s</w:t>
      </w:r>
      <w:r w:rsidR="00F976EE" w:rsidRPr="001F7D21">
        <w:rPr>
          <w:lang w:val="fr-CA"/>
        </w:rPr>
        <w:t>’</w:t>
      </w:r>
      <w:r w:rsidRPr="001F7D21">
        <w:rPr>
          <w:lang w:val="fr-CA"/>
        </w:rPr>
        <w:t>assurer que les commentaires et les leçons apprises sont intégrés</w:t>
      </w:r>
      <w:r w:rsidR="001A0615" w:rsidRPr="001F7D21">
        <w:rPr>
          <w:lang w:val="fr-CA"/>
        </w:rPr>
        <w:t xml:space="preserve"> de façon systématique dans les plans futurs et particulièrement dans la rénovation de l’édifice du Centre, de l’édifice de l’Est et de l’édifice de l’îlot 2</w:t>
      </w:r>
      <w:r w:rsidRPr="001F7D21">
        <w:rPr>
          <w:lang w:val="fr-CA"/>
        </w:rPr>
        <w:t>.</w:t>
      </w:r>
    </w:p>
    <w:p w14:paraId="0552B3E0" w14:textId="700F544B" w:rsidR="00AB1A8F" w:rsidRPr="001F7D21" w:rsidRDefault="001A0615" w:rsidP="00911C8D">
      <w:pPr>
        <w:pStyle w:val="Bodynumberedlist"/>
        <w:rPr>
          <w:lang w:val="fr-CA"/>
        </w:rPr>
      </w:pPr>
      <w:r w:rsidRPr="001F7D21">
        <w:rPr>
          <w:lang w:val="fr-CA"/>
        </w:rPr>
        <w:t>D’ici fin 2023</w:t>
      </w:r>
      <w:r w:rsidR="00AB1A8F" w:rsidRPr="001F7D21">
        <w:rPr>
          <w:lang w:val="fr-CA"/>
        </w:rPr>
        <w:t>, le Sénat travaillera avec SPAC et ses partenaires parlementaires pour mettre à jour les normes de signalisation existantes afin d</w:t>
      </w:r>
      <w:r w:rsidR="00F976EE" w:rsidRPr="001F7D21">
        <w:rPr>
          <w:lang w:val="fr-CA"/>
        </w:rPr>
        <w:t>’</w:t>
      </w:r>
      <w:r w:rsidR="00AB1A8F" w:rsidRPr="001F7D21">
        <w:rPr>
          <w:lang w:val="fr-CA"/>
        </w:rPr>
        <w:t>inclure les exigences en matière d</w:t>
      </w:r>
      <w:r w:rsidR="00F976EE" w:rsidRPr="001F7D21">
        <w:rPr>
          <w:lang w:val="fr-CA"/>
        </w:rPr>
        <w:t>’</w:t>
      </w:r>
      <w:r w:rsidR="00AB1A8F" w:rsidRPr="001F7D21">
        <w:rPr>
          <w:lang w:val="fr-CA"/>
        </w:rPr>
        <w:t>accessibilité et les pratiques exemplaires applicables. Le Sénat travaillera également avec SPAC pour planifier des mises à jour de la signalisation existante en fonction des normes de signalisation approuvées.</w:t>
      </w:r>
    </w:p>
    <w:p w14:paraId="13734DBD" w14:textId="3F32993A" w:rsidR="008622B8" w:rsidRPr="001F7D21" w:rsidRDefault="00AB1A8F" w:rsidP="00911C8D">
      <w:pPr>
        <w:pStyle w:val="Bodynumberedlist"/>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2023, le Sénat veillera à ce qu</w:t>
      </w:r>
      <w:r w:rsidR="00F976EE" w:rsidRPr="001F7D21">
        <w:rPr>
          <w:lang w:val="fr-CA"/>
        </w:rPr>
        <w:t>’</w:t>
      </w:r>
      <w:r w:rsidRPr="001F7D21">
        <w:rPr>
          <w:lang w:val="fr-CA"/>
        </w:rPr>
        <w:t>une signalisation soit ajoutée dans les salles de comités afin de réserver certaines places équipées d’oreillettes audio</w:t>
      </w:r>
      <w:r w:rsidR="0094457E" w:rsidRPr="001F7D21">
        <w:rPr>
          <w:lang w:val="fr-CA"/>
        </w:rPr>
        <w:t>s</w:t>
      </w:r>
      <w:r w:rsidRPr="001F7D21">
        <w:rPr>
          <w:lang w:val="fr-CA"/>
        </w:rPr>
        <w:t xml:space="preserve"> pour les personnes ayant un handicap auditif</w:t>
      </w:r>
      <w:r w:rsidR="008622B8" w:rsidRPr="001F7D21">
        <w:rPr>
          <w:lang w:val="fr-CA"/>
        </w:rPr>
        <w:t>.</w:t>
      </w:r>
    </w:p>
    <w:p w14:paraId="217BB78E" w14:textId="01DB8051" w:rsidR="00477D3B" w:rsidRPr="001F7D21" w:rsidRDefault="00477D3B" w:rsidP="00911C8D">
      <w:pPr>
        <w:pStyle w:val="Bodynumberedlist"/>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2023, le Sénat établira des critères pour encadrer la planification de ses espaces intérieurs afin de s</w:t>
      </w:r>
      <w:r w:rsidR="00F976EE" w:rsidRPr="001F7D21">
        <w:rPr>
          <w:lang w:val="fr-CA"/>
        </w:rPr>
        <w:t>’</w:t>
      </w:r>
      <w:r w:rsidRPr="001F7D21">
        <w:rPr>
          <w:lang w:val="fr-CA"/>
        </w:rPr>
        <w:t xml:space="preserve">assurer que </w:t>
      </w:r>
      <w:r w:rsidR="007A3B69" w:rsidRPr="001F7D21">
        <w:rPr>
          <w:lang w:val="fr-CA"/>
        </w:rPr>
        <w:t>la planification</w:t>
      </w:r>
      <w:r w:rsidRPr="001F7D21">
        <w:rPr>
          <w:lang w:val="fr-CA"/>
        </w:rPr>
        <w:t xml:space="preserve"> </w:t>
      </w:r>
      <w:r w:rsidR="007A3B69" w:rsidRPr="001F7D21">
        <w:rPr>
          <w:lang w:val="fr-CA"/>
        </w:rPr>
        <w:t>tient compte des</w:t>
      </w:r>
      <w:r w:rsidRPr="001F7D21">
        <w:rPr>
          <w:lang w:val="fr-CA"/>
        </w:rPr>
        <w:t xml:space="preserve"> dernières pratiques de conception inclusive et </w:t>
      </w:r>
      <w:r w:rsidR="00915963" w:rsidRPr="001F7D21">
        <w:rPr>
          <w:lang w:val="fr-CA"/>
        </w:rPr>
        <w:t>qu’il se</w:t>
      </w:r>
      <w:r w:rsidR="003C7F2B" w:rsidRPr="001F7D21">
        <w:rPr>
          <w:lang w:val="fr-CA"/>
        </w:rPr>
        <w:t xml:space="preserve"> conform</w:t>
      </w:r>
      <w:r w:rsidR="00915963" w:rsidRPr="001F7D21">
        <w:rPr>
          <w:lang w:val="fr-CA"/>
        </w:rPr>
        <w:t>e</w:t>
      </w:r>
      <w:r w:rsidRPr="001F7D21">
        <w:rPr>
          <w:lang w:val="fr-CA"/>
        </w:rPr>
        <w:t xml:space="preserve"> aux normes d</w:t>
      </w:r>
      <w:r w:rsidR="00F976EE" w:rsidRPr="001F7D21">
        <w:rPr>
          <w:lang w:val="fr-CA"/>
        </w:rPr>
        <w:t>’</w:t>
      </w:r>
      <w:r w:rsidRPr="001F7D21">
        <w:rPr>
          <w:lang w:val="fr-CA"/>
        </w:rPr>
        <w:t xml:space="preserve">accessibilité et aux pratiques exemplaires. </w:t>
      </w:r>
    </w:p>
    <w:p w14:paraId="3E0F80E5" w14:textId="702D360F" w:rsidR="00A83E30" w:rsidRPr="001F7D21" w:rsidRDefault="008A4BEC" w:rsidP="00911C8D">
      <w:pPr>
        <w:pStyle w:val="Bodynumberedlist"/>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2023, le Sénat créera un processus permettant d</w:t>
      </w:r>
      <w:r w:rsidR="00F976EE" w:rsidRPr="001F7D21">
        <w:rPr>
          <w:lang w:val="fr-CA"/>
        </w:rPr>
        <w:t>’</w:t>
      </w:r>
      <w:r w:rsidRPr="001F7D21">
        <w:rPr>
          <w:lang w:val="fr-CA"/>
        </w:rPr>
        <w:t>examiner et de revoir régulièrement l</w:t>
      </w:r>
      <w:r w:rsidR="00F976EE" w:rsidRPr="001F7D21">
        <w:rPr>
          <w:lang w:val="fr-CA"/>
        </w:rPr>
        <w:t>’</w:t>
      </w:r>
      <w:r w:rsidRPr="001F7D21">
        <w:rPr>
          <w:lang w:val="fr-CA"/>
        </w:rPr>
        <w:t>accessibilité des bâtiments occupés par le Sénat afin de s</w:t>
      </w:r>
      <w:r w:rsidR="00F976EE" w:rsidRPr="001F7D21">
        <w:rPr>
          <w:lang w:val="fr-CA"/>
        </w:rPr>
        <w:t>’</w:t>
      </w:r>
      <w:r w:rsidRPr="001F7D21">
        <w:rPr>
          <w:lang w:val="fr-CA"/>
        </w:rPr>
        <w:t>assurer que de nouveaux obstacles n</w:t>
      </w:r>
      <w:r w:rsidR="00F976EE" w:rsidRPr="001F7D21">
        <w:rPr>
          <w:lang w:val="fr-CA"/>
        </w:rPr>
        <w:t>’</w:t>
      </w:r>
      <w:r w:rsidRPr="001F7D21">
        <w:rPr>
          <w:lang w:val="fr-CA"/>
        </w:rPr>
        <w:t>ont pas été créés et que les caractéristiques d</w:t>
      </w:r>
      <w:r w:rsidR="00F976EE" w:rsidRPr="001F7D21">
        <w:rPr>
          <w:lang w:val="fr-CA"/>
        </w:rPr>
        <w:t>’</w:t>
      </w:r>
      <w:r w:rsidRPr="001F7D21">
        <w:rPr>
          <w:lang w:val="fr-CA"/>
        </w:rPr>
        <w:t xml:space="preserve">accessibilité existantes ont été entretenues. </w:t>
      </w:r>
    </w:p>
    <w:p w14:paraId="3D8800D6" w14:textId="19F677F5" w:rsidR="008A4BEC" w:rsidRPr="001F7D21" w:rsidRDefault="008A4BEC" w:rsidP="00911C8D">
      <w:pPr>
        <w:pStyle w:val="Bodynumberedlist"/>
        <w:rPr>
          <w:lang w:val="fr-CA"/>
        </w:rPr>
      </w:pPr>
      <w:r w:rsidRPr="001F7D21">
        <w:rPr>
          <w:lang w:val="fr-CA"/>
        </w:rPr>
        <w:t>Les hôtes ou les parrains des visiteurs remplissent et soumettent actuellement un « Formulaire d’accès à l’enceinte du Sénat</w:t>
      </w:r>
      <w:r w:rsidR="00B51D1C" w:rsidRPr="001F7D21">
        <w:rPr>
          <w:lang w:val="fr-CA"/>
        </w:rPr>
        <w:t> »</w:t>
      </w:r>
      <w:r w:rsidRPr="001F7D21">
        <w:rPr>
          <w:lang w:val="fr-CA"/>
        </w:rPr>
        <w:t xml:space="preserve"> avant l</w:t>
      </w:r>
      <w:r w:rsidR="00F976EE" w:rsidRPr="001F7D21">
        <w:rPr>
          <w:lang w:val="fr-CA"/>
        </w:rPr>
        <w:t>’</w:t>
      </w:r>
      <w:r w:rsidRPr="001F7D21">
        <w:rPr>
          <w:lang w:val="fr-CA"/>
        </w:rPr>
        <w:t>arrivée de leurs invités dans tout bâtiment occupé par le Sénat. D</w:t>
      </w:r>
      <w:r w:rsidR="00F976EE" w:rsidRPr="001F7D21">
        <w:rPr>
          <w:lang w:val="fr-CA"/>
        </w:rPr>
        <w:t>’</w:t>
      </w:r>
      <w:r w:rsidRPr="001F7D21">
        <w:rPr>
          <w:lang w:val="fr-CA"/>
        </w:rPr>
        <w:t>ici</w:t>
      </w:r>
      <w:r w:rsidR="00B51D1C" w:rsidRPr="001F7D21">
        <w:rPr>
          <w:lang w:val="fr-CA"/>
        </w:rPr>
        <w:t xml:space="preserve"> </w:t>
      </w:r>
      <w:r w:rsidRPr="001F7D21">
        <w:rPr>
          <w:lang w:val="fr-CA"/>
        </w:rPr>
        <w:t>fin</w:t>
      </w:r>
      <w:r w:rsidR="00BE74F0" w:rsidRPr="001F7D21">
        <w:rPr>
          <w:lang w:val="fr-CA"/>
        </w:rPr>
        <w:t> </w:t>
      </w:r>
      <w:r w:rsidRPr="001F7D21">
        <w:rPr>
          <w:lang w:val="fr-CA"/>
        </w:rPr>
        <w:t>2023, le Sénat mettra à jour ce formulaire afin d</w:t>
      </w:r>
      <w:r w:rsidR="00F976EE" w:rsidRPr="001F7D21">
        <w:rPr>
          <w:lang w:val="fr-CA"/>
        </w:rPr>
        <w:t>’</w:t>
      </w:r>
      <w:r w:rsidRPr="001F7D21">
        <w:rPr>
          <w:lang w:val="fr-CA"/>
        </w:rPr>
        <w:t xml:space="preserve">inclure une </w:t>
      </w:r>
      <w:r w:rsidR="00B51D1C" w:rsidRPr="001F7D21">
        <w:rPr>
          <w:lang w:val="fr-CA"/>
        </w:rPr>
        <w:t>partie</w:t>
      </w:r>
      <w:r w:rsidRPr="001F7D21">
        <w:rPr>
          <w:lang w:val="fr-CA"/>
        </w:rPr>
        <w:t xml:space="preserve"> au bas du formulaire indiquant les numéros à contacter si leurs visiteurs ont besoin d</w:t>
      </w:r>
      <w:r w:rsidR="00F976EE" w:rsidRPr="001F7D21">
        <w:rPr>
          <w:lang w:val="fr-CA"/>
        </w:rPr>
        <w:t>’</w:t>
      </w:r>
      <w:r w:rsidRPr="001F7D21">
        <w:rPr>
          <w:lang w:val="fr-CA"/>
        </w:rPr>
        <w:t>une aide quelconque en matière d</w:t>
      </w:r>
      <w:r w:rsidR="00F976EE" w:rsidRPr="001F7D21">
        <w:rPr>
          <w:lang w:val="fr-CA"/>
        </w:rPr>
        <w:t>’</w:t>
      </w:r>
      <w:r w:rsidRPr="001F7D21">
        <w:rPr>
          <w:lang w:val="fr-CA"/>
        </w:rPr>
        <w:t xml:space="preserve">accessibilité (par exemple, </w:t>
      </w:r>
      <w:r w:rsidR="00B51D1C" w:rsidRPr="001F7D21">
        <w:rPr>
          <w:lang w:val="fr-CA"/>
        </w:rPr>
        <w:t>s’ils sont en</w:t>
      </w:r>
      <w:r w:rsidRPr="001F7D21">
        <w:rPr>
          <w:lang w:val="fr-CA"/>
        </w:rPr>
        <w:t xml:space="preserve"> fauteuil roulant). </w:t>
      </w:r>
    </w:p>
    <w:p w14:paraId="2EB9E50A" w14:textId="7DB4BA99" w:rsidR="003577B8" w:rsidRPr="001F7D21" w:rsidRDefault="00D032E6" w:rsidP="00911C8D">
      <w:pPr>
        <w:pStyle w:val="Bodynumberedlist"/>
        <w:rPr>
          <w:lang w:val="fr-CA"/>
        </w:rPr>
      </w:pPr>
      <w:r w:rsidRPr="001F7D21">
        <w:rPr>
          <w:lang w:val="fr-CA"/>
        </w:rPr>
        <w:lastRenderedPageBreak/>
        <w:t>D</w:t>
      </w:r>
      <w:r w:rsidR="00F976EE" w:rsidRPr="001F7D21">
        <w:rPr>
          <w:lang w:val="fr-CA"/>
        </w:rPr>
        <w:t>’</w:t>
      </w:r>
      <w:r w:rsidRPr="001F7D21">
        <w:rPr>
          <w:lang w:val="fr-CA"/>
        </w:rPr>
        <w:t>ici fin</w:t>
      </w:r>
      <w:r w:rsidR="00BE74F0" w:rsidRPr="001F7D21">
        <w:rPr>
          <w:lang w:val="fr-CA"/>
        </w:rPr>
        <w:t> </w:t>
      </w:r>
      <w:r w:rsidRPr="001F7D21">
        <w:rPr>
          <w:lang w:val="fr-CA"/>
        </w:rPr>
        <w:t xml:space="preserve">2024, le Sénat intégrera des renseignements sur les </w:t>
      </w:r>
      <w:r w:rsidR="00FA6886" w:rsidRPr="001F7D21">
        <w:rPr>
          <w:lang w:val="fr-CA"/>
        </w:rPr>
        <w:t>évacuations d’urgence</w:t>
      </w:r>
      <w:r w:rsidRPr="001F7D21">
        <w:rPr>
          <w:lang w:val="fr-CA"/>
        </w:rPr>
        <w:t xml:space="preserve"> pour les </w:t>
      </w:r>
      <w:r w:rsidR="0031675D" w:rsidRPr="001F7D21">
        <w:rPr>
          <w:lang w:val="fr-CA"/>
        </w:rPr>
        <w:t xml:space="preserve">personnes </w:t>
      </w:r>
      <w:r w:rsidR="00AD6B7C" w:rsidRPr="001F7D21">
        <w:rPr>
          <w:lang w:val="fr-CA"/>
        </w:rPr>
        <w:t>en situation de handicap</w:t>
      </w:r>
      <w:r w:rsidRPr="001F7D21">
        <w:rPr>
          <w:lang w:val="fr-CA"/>
        </w:rPr>
        <w:t xml:space="preserve"> dans la formation de sensibilisation à l</w:t>
      </w:r>
      <w:r w:rsidR="00F976EE" w:rsidRPr="001F7D21">
        <w:rPr>
          <w:lang w:val="fr-CA"/>
        </w:rPr>
        <w:t>’</w:t>
      </w:r>
      <w:r w:rsidRPr="001F7D21">
        <w:rPr>
          <w:lang w:val="fr-CA"/>
        </w:rPr>
        <w:t>accessibilité qui sera lancée ultérieurement (voir la section</w:t>
      </w:r>
      <w:r w:rsidR="00BE74F0" w:rsidRPr="001F7D21">
        <w:rPr>
          <w:lang w:val="fr-CA"/>
        </w:rPr>
        <w:t> </w:t>
      </w:r>
      <w:r w:rsidR="002C59F7">
        <w:rPr>
          <w:lang w:val="fr-CA"/>
        </w:rPr>
        <w:t>3</w:t>
      </w:r>
      <w:r w:rsidRPr="001F7D21">
        <w:rPr>
          <w:lang w:val="fr-CA"/>
        </w:rPr>
        <w:t xml:space="preserve">.8 </w:t>
      </w:r>
      <w:r w:rsidR="00AD23E1" w:rsidRPr="001F7D21">
        <w:rPr>
          <w:lang w:val="fr-CA"/>
        </w:rPr>
        <w:t xml:space="preserve">– </w:t>
      </w:r>
      <w:r w:rsidRPr="001F7D21">
        <w:rPr>
          <w:lang w:val="fr-CA"/>
        </w:rPr>
        <w:t>Initiatives à l</w:t>
      </w:r>
      <w:r w:rsidR="00F976EE" w:rsidRPr="001F7D21">
        <w:rPr>
          <w:lang w:val="fr-CA"/>
        </w:rPr>
        <w:t>’</w:t>
      </w:r>
      <w:r w:rsidRPr="001F7D21">
        <w:rPr>
          <w:lang w:val="fr-CA"/>
        </w:rPr>
        <w:t>échelle de l</w:t>
      </w:r>
      <w:r w:rsidR="00F976EE" w:rsidRPr="001F7D21">
        <w:rPr>
          <w:lang w:val="fr-CA"/>
        </w:rPr>
        <w:t>’</w:t>
      </w:r>
      <w:r w:rsidRPr="001F7D21">
        <w:rPr>
          <w:lang w:val="fr-CA"/>
        </w:rPr>
        <w:t>organisation).</w:t>
      </w:r>
      <w:r w:rsidR="00744F8B" w:rsidRPr="001F7D21">
        <w:rPr>
          <w:lang w:val="fr-CA"/>
        </w:rPr>
        <w:t xml:space="preserve"> Entre-temps, tous les membres du personnel ayant un rôle ou des responsabilités dans les procédures d</w:t>
      </w:r>
      <w:r w:rsidR="00C00E9A" w:rsidRPr="001F7D21">
        <w:rPr>
          <w:lang w:val="fr-CA"/>
        </w:rPr>
        <w:t>’</w:t>
      </w:r>
      <w:r w:rsidR="00744F8B" w:rsidRPr="001F7D21">
        <w:rPr>
          <w:lang w:val="fr-CA"/>
        </w:rPr>
        <w:t>urgence ont reçu les informations nécessaires.</w:t>
      </w:r>
    </w:p>
    <w:p w14:paraId="42EF7243" w14:textId="0DAA6B9E" w:rsidR="00B64599" w:rsidRPr="00020975" w:rsidRDefault="00AA2378" w:rsidP="00911C8D">
      <w:pPr>
        <w:pStyle w:val="Heading2"/>
        <w:rPr>
          <w:lang w:val="fr-CA"/>
        </w:rPr>
      </w:pPr>
      <w:bookmarkStart w:id="18" w:name="_Toc117886752"/>
      <w:r>
        <w:rPr>
          <w:lang w:val="fr-CA"/>
        </w:rPr>
        <w:t>Emploi</w:t>
      </w:r>
      <w:bookmarkEnd w:id="18"/>
      <w:r w:rsidR="00B64599" w:rsidRPr="00020975">
        <w:rPr>
          <w:lang w:val="fr-CA"/>
        </w:rPr>
        <w:t xml:space="preserve"> </w:t>
      </w:r>
    </w:p>
    <w:p w14:paraId="76FF5957" w14:textId="395762A0" w:rsidR="00B64599" w:rsidRPr="00020975" w:rsidRDefault="00C70C17" w:rsidP="00911C8D">
      <w:pPr>
        <w:pStyle w:val="Heading3"/>
        <w:rPr>
          <w:lang w:val="fr-CA"/>
        </w:rPr>
      </w:pPr>
      <w:bookmarkStart w:id="19" w:name="_Toc117886753"/>
      <w:r>
        <w:rPr>
          <w:lang w:val="fr-CA"/>
        </w:rPr>
        <w:t>Aperçu</w:t>
      </w:r>
      <w:bookmarkEnd w:id="19"/>
    </w:p>
    <w:p w14:paraId="3D13591D" w14:textId="666CCACB" w:rsidR="00B64599" w:rsidRPr="00020975" w:rsidRDefault="00C70C17" w:rsidP="00BD28E1">
      <w:pPr>
        <w:rPr>
          <w:lang w:val="fr-CA"/>
        </w:rPr>
      </w:pPr>
      <w:r w:rsidRPr="00C70C17">
        <w:rPr>
          <w:lang w:val="fr-CA"/>
        </w:rPr>
        <w:t>Le Sénat est composé d</w:t>
      </w:r>
      <w:r w:rsidR="00F976EE">
        <w:rPr>
          <w:lang w:val="fr-CA"/>
        </w:rPr>
        <w:t>’</w:t>
      </w:r>
      <w:r w:rsidRPr="00C70C17">
        <w:rPr>
          <w:lang w:val="fr-CA"/>
        </w:rPr>
        <w:t>environ 700</w:t>
      </w:r>
      <w:r w:rsidR="00BE74F0">
        <w:rPr>
          <w:lang w:val="fr-CA"/>
        </w:rPr>
        <w:t> </w:t>
      </w:r>
      <w:r w:rsidRPr="00C70C17">
        <w:rPr>
          <w:lang w:val="fr-CA"/>
        </w:rPr>
        <w:t>employés occupant divers postes, ainsi que de 105</w:t>
      </w:r>
      <w:r w:rsidR="00BE74F0">
        <w:rPr>
          <w:lang w:val="fr-CA"/>
        </w:rPr>
        <w:t> </w:t>
      </w:r>
      <w:r w:rsidRPr="00C70C17">
        <w:rPr>
          <w:lang w:val="fr-CA"/>
        </w:rPr>
        <w:t>sénateurs nommés qui supervisent les membres de leur équipe. Le principal lieu de travail est l</w:t>
      </w:r>
      <w:r w:rsidR="00F976EE">
        <w:rPr>
          <w:lang w:val="fr-CA"/>
        </w:rPr>
        <w:t>’</w:t>
      </w:r>
      <w:r w:rsidRPr="00C70C17">
        <w:rPr>
          <w:lang w:val="fr-CA"/>
        </w:rPr>
        <w:t>édifice du Sénat du Canada et d</w:t>
      </w:r>
      <w:r w:rsidR="00F976EE">
        <w:rPr>
          <w:lang w:val="fr-CA"/>
        </w:rPr>
        <w:t>’</w:t>
      </w:r>
      <w:r w:rsidRPr="00C70C17">
        <w:rPr>
          <w:lang w:val="fr-CA"/>
        </w:rPr>
        <w:t>autres espaces autour de la Colline du Parlement</w:t>
      </w:r>
      <w:r w:rsidR="008161E8">
        <w:rPr>
          <w:lang w:val="fr-CA"/>
        </w:rPr>
        <w:t>, qui sont tous</w:t>
      </w:r>
      <w:r w:rsidRPr="00C70C17">
        <w:rPr>
          <w:lang w:val="fr-CA"/>
        </w:rPr>
        <w:t xml:space="preserve"> situés dans la </w:t>
      </w:r>
      <w:r w:rsidR="00BA5F5B" w:rsidRPr="00EC77C3">
        <w:rPr>
          <w:lang w:val="fr-CA"/>
        </w:rPr>
        <w:t>ré</w:t>
      </w:r>
      <w:r w:rsidR="00BA5F5B">
        <w:rPr>
          <w:lang w:val="fr-CA"/>
        </w:rPr>
        <w:t>gion de la capitale nationale</w:t>
      </w:r>
      <w:r w:rsidR="3BC1A685" w:rsidRPr="00020975">
        <w:rPr>
          <w:lang w:val="fr-CA"/>
        </w:rPr>
        <w:t xml:space="preserve">. </w:t>
      </w:r>
    </w:p>
    <w:p w14:paraId="1AB7CBAB" w14:textId="77777777" w:rsidR="0017483E" w:rsidRPr="00DC01FA" w:rsidRDefault="0017483E" w:rsidP="00911C8D">
      <w:pPr>
        <w:pStyle w:val="Heading3"/>
        <w:rPr>
          <w:lang w:val="fr-CA"/>
        </w:rPr>
      </w:pPr>
      <w:bookmarkStart w:id="20" w:name="_Toc117886754"/>
      <w:r w:rsidRPr="00DC01FA">
        <w:rPr>
          <w:lang w:val="fr-CA"/>
        </w:rPr>
        <w:t>État actuel de l’accessibilité</w:t>
      </w:r>
      <w:bookmarkEnd w:id="20"/>
    </w:p>
    <w:p w14:paraId="21954095" w14:textId="1AD5EE82" w:rsidR="00B64599" w:rsidRPr="00AD65CE" w:rsidRDefault="00AD65CE" w:rsidP="00BD28E1">
      <w:pPr>
        <w:rPr>
          <w:lang w:val="fr-CA"/>
        </w:rPr>
      </w:pPr>
      <w:r w:rsidRPr="00AD65CE">
        <w:rPr>
          <w:lang w:val="fr-CA"/>
        </w:rPr>
        <w:t>Le Sénat n</w:t>
      </w:r>
      <w:r w:rsidR="00F976EE">
        <w:rPr>
          <w:lang w:val="fr-CA"/>
        </w:rPr>
        <w:t>’</w:t>
      </w:r>
      <w:r w:rsidRPr="00AD65CE">
        <w:rPr>
          <w:lang w:val="fr-CA"/>
        </w:rPr>
        <w:t>a pas encore établi de processus permettant de procéder à des examens systématiques de ses pratiques, politiques et procédures d</w:t>
      </w:r>
      <w:r w:rsidR="00F976EE">
        <w:rPr>
          <w:lang w:val="fr-CA"/>
        </w:rPr>
        <w:t>’</w:t>
      </w:r>
      <w:r w:rsidRPr="00AD65CE">
        <w:rPr>
          <w:lang w:val="fr-CA"/>
        </w:rPr>
        <w:t>emploi afin d</w:t>
      </w:r>
      <w:r w:rsidR="00F976EE">
        <w:rPr>
          <w:lang w:val="fr-CA"/>
        </w:rPr>
        <w:t>’</w:t>
      </w:r>
      <w:r w:rsidRPr="00AD65CE">
        <w:rPr>
          <w:lang w:val="fr-CA"/>
        </w:rPr>
        <w:t xml:space="preserve">identifier les obstacles pour les </w:t>
      </w:r>
      <w:r w:rsidR="0031675D">
        <w:rPr>
          <w:lang w:val="fr-CA"/>
        </w:rPr>
        <w:t xml:space="preserve">personnes </w:t>
      </w:r>
      <w:r w:rsidR="00AD6B7C">
        <w:rPr>
          <w:lang w:val="fr-CA"/>
        </w:rPr>
        <w:t>en situation de handicap</w:t>
      </w:r>
      <w:r w:rsidRPr="00AD65CE">
        <w:rPr>
          <w:lang w:val="fr-CA"/>
        </w:rPr>
        <w:t>.</w:t>
      </w:r>
      <w:r w:rsidR="00D81AF9" w:rsidRPr="00AD65CE">
        <w:rPr>
          <w:lang w:val="fr-CA"/>
        </w:rPr>
        <w:t xml:space="preserve"> </w:t>
      </w:r>
    </w:p>
    <w:p w14:paraId="739B6449" w14:textId="4565F1EF" w:rsidR="003D78CF" w:rsidRDefault="003D78CF" w:rsidP="00BD28E1">
      <w:pPr>
        <w:rPr>
          <w:lang w:val="fr-CA"/>
        </w:rPr>
      </w:pPr>
      <w:r w:rsidRPr="003D78CF">
        <w:rPr>
          <w:lang w:val="fr-CA"/>
        </w:rPr>
        <w:t xml:space="preserve">Le Sénat offre des aménagements aux membres du personnel et aux candidats </w:t>
      </w:r>
      <w:r w:rsidR="00AD6B7C">
        <w:rPr>
          <w:lang w:val="fr-CA"/>
        </w:rPr>
        <w:t>en situation de handicap</w:t>
      </w:r>
      <w:r w:rsidR="006551F3">
        <w:rPr>
          <w:lang w:val="fr-CA"/>
        </w:rPr>
        <w:t xml:space="preserve"> qui </w:t>
      </w:r>
      <w:r w:rsidRPr="003D78CF">
        <w:rPr>
          <w:lang w:val="fr-CA"/>
        </w:rPr>
        <w:t>répond</w:t>
      </w:r>
      <w:r w:rsidR="006551F3">
        <w:rPr>
          <w:lang w:val="fr-CA"/>
        </w:rPr>
        <w:t>e</w:t>
      </w:r>
      <w:r w:rsidRPr="003D78CF">
        <w:rPr>
          <w:lang w:val="fr-CA"/>
        </w:rPr>
        <w:t>nt à une offre d</w:t>
      </w:r>
      <w:r w:rsidR="00F976EE">
        <w:rPr>
          <w:lang w:val="fr-CA"/>
        </w:rPr>
        <w:t>’</w:t>
      </w:r>
      <w:r w:rsidRPr="003D78CF">
        <w:rPr>
          <w:lang w:val="fr-CA"/>
        </w:rPr>
        <w:t>emploi. Il dispose en outre d</w:t>
      </w:r>
      <w:r w:rsidR="00F976EE">
        <w:rPr>
          <w:lang w:val="fr-CA"/>
        </w:rPr>
        <w:t>’</w:t>
      </w:r>
      <w:r w:rsidRPr="003D78CF">
        <w:rPr>
          <w:lang w:val="fr-CA"/>
        </w:rPr>
        <w:t>une politique encadrant la manière dont les demandes d</w:t>
      </w:r>
      <w:r w:rsidR="00F976EE">
        <w:rPr>
          <w:lang w:val="fr-CA"/>
        </w:rPr>
        <w:t>’</w:t>
      </w:r>
      <w:r w:rsidRPr="003D78CF">
        <w:rPr>
          <w:lang w:val="fr-CA"/>
        </w:rPr>
        <w:t>aménagement sont traitées.</w:t>
      </w:r>
    </w:p>
    <w:p w14:paraId="7D365ED9" w14:textId="60BA1784" w:rsidR="00B64599" w:rsidRPr="00020975" w:rsidRDefault="0008665F" w:rsidP="00BD28E1">
      <w:pPr>
        <w:rPr>
          <w:lang w:val="fr-CA"/>
        </w:rPr>
      </w:pPr>
      <w:r w:rsidRPr="0008665F">
        <w:rPr>
          <w:lang w:val="fr-CA"/>
        </w:rPr>
        <w:t xml:space="preserve">Des réseaux d’employés continuent de se former sur la Colline du Parlement, notamment </w:t>
      </w:r>
      <w:r>
        <w:rPr>
          <w:lang w:val="fr-CA"/>
        </w:rPr>
        <w:t xml:space="preserve">le réseau des </w:t>
      </w:r>
      <w:r w:rsidR="0031675D">
        <w:rPr>
          <w:lang w:val="fr-CA"/>
        </w:rPr>
        <w:t xml:space="preserve">personnes </w:t>
      </w:r>
      <w:r w:rsidR="00AD6B7C">
        <w:rPr>
          <w:lang w:val="fr-CA"/>
        </w:rPr>
        <w:t>en situation de handicap</w:t>
      </w:r>
      <w:r>
        <w:rPr>
          <w:lang w:val="fr-CA"/>
        </w:rPr>
        <w:t>.</w:t>
      </w:r>
      <w:r w:rsidR="3A99BF82" w:rsidRPr="0008665F">
        <w:rPr>
          <w:lang w:val="fr-CA"/>
        </w:rPr>
        <w:t xml:space="preserve"> </w:t>
      </w:r>
      <w:r w:rsidRPr="0008665F">
        <w:rPr>
          <w:lang w:val="fr-CA"/>
        </w:rPr>
        <w:t>Ce groupe comprendra des membres du personnel de toutes les entités parlementaires énumérées à l</w:t>
      </w:r>
      <w:r w:rsidR="00F976EE">
        <w:rPr>
          <w:lang w:val="fr-CA"/>
        </w:rPr>
        <w:t>’</w:t>
      </w:r>
      <w:r w:rsidRPr="0008665F">
        <w:rPr>
          <w:lang w:val="fr-CA"/>
        </w:rPr>
        <w:t>article</w:t>
      </w:r>
      <w:r w:rsidR="00BE74F0">
        <w:rPr>
          <w:lang w:val="fr-CA"/>
        </w:rPr>
        <w:t> </w:t>
      </w:r>
      <w:r w:rsidRPr="0008665F">
        <w:rPr>
          <w:lang w:val="fr-CA"/>
        </w:rPr>
        <w:t>134 de l</w:t>
      </w:r>
      <w:r>
        <w:rPr>
          <w:lang w:val="fr-CA"/>
        </w:rPr>
        <w:t>a</w:t>
      </w:r>
      <w:r w:rsidRPr="00186915">
        <w:rPr>
          <w:i/>
          <w:iCs/>
          <w:lang w:val="fr-CA"/>
        </w:rPr>
        <w:t xml:space="preserve"> Loi canadienne sur l’accessibilité</w:t>
      </w:r>
      <w:r w:rsidRPr="00F17F27">
        <w:rPr>
          <w:lang w:val="fr-CA"/>
        </w:rPr>
        <w:t xml:space="preserve">. </w:t>
      </w:r>
      <w:r w:rsidRPr="0008665F">
        <w:rPr>
          <w:lang w:val="fr-CA"/>
        </w:rPr>
        <w:t>Le groupe fourni</w:t>
      </w:r>
      <w:r>
        <w:rPr>
          <w:lang w:val="fr-CA"/>
        </w:rPr>
        <w:t>ra</w:t>
      </w:r>
      <w:r w:rsidRPr="0008665F">
        <w:rPr>
          <w:lang w:val="fr-CA"/>
        </w:rPr>
        <w:t xml:space="preserve"> un soutien par les pairs aux membres du personnel </w:t>
      </w:r>
      <w:r w:rsidR="00AD6B7C">
        <w:rPr>
          <w:lang w:val="fr-CA"/>
        </w:rPr>
        <w:t>en situation de handicap</w:t>
      </w:r>
      <w:r>
        <w:rPr>
          <w:lang w:val="fr-CA"/>
        </w:rPr>
        <w:t xml:space="preserve"> </w:t>
      </w:r>
      <w:r w:rsidRPr="0008665F">
        <w:rPr>
          <w:lang w:val="fr-CA"/>
        </w:rPr>
        <w:t>et sera consulté lors de la planification et de la mise en œuvre des projets et plans d</w:t>
      </w:r>
      <w:r w:rsidR="00F976EE">
        <w:rPr>
          <w:lang w:val="fr-CA"/>
        </w:rPr>
        <w:t>’</w:t>
      </w:r>
      <w:r w:rsidRPr="0008665F">
        <w:rPr>
          <w:lang w:val="fr-CA"/>
        </w:rPr>
        <w:t xml:space="preserve">accessibilité. </w:t>
      </w:r>
    </w:p>
    <w:p w14:paraId="29E1B91F" w14:textId="368C5E03" w:rsidR="00B64599" w:rsidRPr="00020975" w:rsidRDefault="0008665F" w:rsidP="00911C8D">
      <w:pPr>
        <w:pStyle w:val="Heading3"/>
        <w:rPr>
          <w:lang w:val="fr-CA"/>
        </w:rPr>
      </w:pPr>
      <w:bookmarkStart w:id="21" w:name="_Toc117886755"/>
      <w:r>
        <w:rPr>
          <w:lang w:val="fr-CA"/>
        </w:rPr>
        <w:lastRenderedPageBreak/>
        <w:t>Objectifs en matière d’accessibilité</w:t>
      </w:r>
      <w:bookmarkEnd w:id="21"/>
    </w:p>
    <w:p w14:paraId="6067815C" w14:textId="2F901A85" w:rsidR="00B64599" w:rsidRPr="00BD28E1" w:rsidRDefault="008364B0" w:rsidP="00911C8D">
      <w:pPr>
        <w:pStyle w:val="Bodynumberedlist"/>
        <w:numPr>
          <w:ilvl w:val="0"/>
          <w:numId w:val="4"/>
        </w:numPr>
        <w:rPr>
          <w:rFonts w:eastAsiaTheme="minorEastAsia"/>
          <w:lang w:val="fr-CA"/>
        </w:rPr>
      </w:pPr>
      <w:r w:rsidRPr="00BD28E1">
        <w:rPr>
          <w:lang w:val="fr-CA"/>
        </w:rPr>
        <w:t>D</w:t>
      </w:r>
      <w:r w:rsidR="00F976EE" w:rsidRPr="00BD28E1">
        <w:rPr>
          <w:lang w:val="fr-CA"/>
        </w:rPr>
        <w:t>’</w:t>
      </w:r>
      <w:r w:rsidRPr="00BD28E1">
        <w:rPr>
          <w:lang w:val="fr-CA"/>
        </w:rPr>
        <w:t>ici fin</w:t>
      </w:r>
      <w:r w:rsidR="00BE74F0" w:rsidRPr="00BD28E1">
        <w:rPr>
          <w:lang w:val="fr-CA"/>
        </w:rPr>
        <w:t> </w:t>
      </w:r>
      <w:r w:rsidRPr="00BD28E1">
        <w:rPr>
          <w:lang w:val="fr-CA"/>
        </w:rPr>
        <w:t>2024, le Sénat remplacera son système de candidature en ligne et l</w:t>
      </w:r>
      <w:r w:rsidR="00F976EE" w:rsidRPr="00BD28E1">
        <w:rPr>
          <w:lang w:val="fr-CA"/>
        </w:rPr>
        <w:t>’</w:t>
      </w:r>
      <w:r w:rsidRPr="00BD28E1">
        <w:rPr>
          <w:lang w:val="fr-CA"/>
        </w:rPr>
        <w:t xml:space="preserve">accessibilité sera une exigence essentielle dans le cadre de l’élaboration du nouveau système. </w:t>
      </w:r>
      <w:r w:rsidR="00102562" w:rsidRPr="00BD28E1">
        <w:rPr>
          <w:lang w:val="fr-CA"/>
        </w:rPr>
        <w:t>Le</w:t>
      </w:r>
      <w:r w:rsidRPr="00BD28E1">
        <w:rPr>
          <w:lang w:val="fr-CA"/>
        </w:rPr>
        <w:t xml:space="preserve"> système choisi </w:t>
      </w:r>
      <w:r w:rsidR="00102562" w:rsidRPr="00BD28E1">
        <w:rPr>
          <w:lang w:val="fr-CA"/>
        </w:rPr>
        <w:t>devra être</w:t>
      </w:r>
      <w:r w:rsidRPr="00BD28E1">
        <w:rPr>
          <w:lang w:val="fr-CA"/>
        </w:rPr>
        <w:t xml:space="preserve"> conforme </w:t>
      </w:r>
      <w:r w:rsidR="003D491E" w:rsidRPr="00BD28E1">
        <w:rPr>
          <w:lang w:val="fr-CA"/>
        </w:rPr>
        <w:t>aux exigences</w:t>
      </w:r>
      <w:r w:rsidRPr="00BD28E1">
        <w:rPr>
          <w:lang w:val="fr-CA"/>
        </w:rPr>
        <w:t xml:space="preserve"> WCAG</w:t>
      </w:r>
      <w:r w:rsidR="00BE74F0" w:rsidRPr="00BD28E1">
        <w:rPr>
          <w:lang w:val="fr-CA"/>
        </w:rPr>
        <w:t> </w:t>
      </w:r>
      <w:r w:rsidRPr="00BD28E1">
        <w:rPr>
          <w:lang w:val="fr-CA"/>
        </w:rPr>
        <w:t>2.1 AA du World Wide Web Consortium (W3C)</w:t>
      </w:r>
      <w:r w:rsidR="006551F3" w:rsidRPr="00BD28E1">
        <w:rPr>
          <w:lang w:val="fr-CA"/>
        </w:rPr>
        <w:t xml:space="preserve">, </w:t>
      </w:r>
      <w:r w:rsidRPr="00BD28E1">
        <w:rPr>
          <w:lang w:val="fr-CA"/>
        </w:rPr>
        <w:t>un ensemble de normes internationales pour l</w:t>
      </w:r>
      <w:r w:rsidR="00F976EE" w:rsidRPr="00BD28E1">
        <w:rPr>
          <w:lang w:val="fr-CA"/>
        </w:rPr>
        <w:t>’</w:t>
      </w:r>
      <w:r w:rsidRPr="00BD28E1">
        <w:rPr>
          <w:lang w:val="fr-CA"/>
        </w:rPr>
        <w:t>accessibilité en ligne. En attendant cette mise à niveau du système, le Sénat sera proactif en proposant d</w:t>
      </w:r>
      <w:r w:rsidR="00F976EE" w:rsidRPr="00BD28E1">
        <w:rPr>
          <w:lang w:val="fr-CA"/>
        </w:rPr>
        <w:t>’</w:t>
      </w:r>
      <w:r w:rsidRPr="00BD28E1">
        <w:rPr>
          <w:lang w:val="fr-CA"/>
        </w:rPr>
        <w:t>aider les candidats qui ont besoin d</w:t>
      </w:r>
      <w:r w:rsidR="00F976EE" w:rsidRPr="00BD28E1">
        <w:rPr>
          <w:lang w:val="fr-CA"/>
        </w:rPr>
        <w:t>’</w:t>
      </w:r>
      <w:r w:rsidRPr="00BD28E1">
        <w:rPr>
          <w:lang w:val="fr-CA"/>
        </w:rPr>
        <w:t>aménagements.</w:t>
      </w:r>
    </w:p>
    <w:p w14:paraId="3BDCE794" w14:textId="5E2CD208" w:rsidR="00757E70" w:rsidRPr="00BD28E1" w:rsidRDefault="00757E70" w:rsidP="00911C8D">
      <w:pPr>
        <w:pStyle w:val="Bodynumberedlist"/>
        <w:numPr>
          <w:ilvl w:val="0"/>
          <w:numId w:val="4"/>
        </w:numPr>
        <w:rPr>
          <w:lang w:val="fr-CA"/>
        </w:rPr>
      </w:pPr>
      <w:r w:rsidRPr="00BD28E1">
        <w:rPr>
          <w:lang w:val="fr-CA"/>
        </w:rPr>
        <w:t>D</w:t>
      </w:r>
      <w:r w:rsidR="00F976EE" w:rsidRPr="00BD28E1">
        <w:rPr>
          <w:lang w:val="fr-CA"/>
        </w:rPr>
        <w:t>’</w:t>
      </w:r>
      <w:r w:rsidRPr="00BD28E1">
        <w:rPr>
          <w:lang w:val="fr-CA"/>
        </w:rPr>
        <w:t>ici fin</w:t>
      </w:r>
      <w:r w:rsidR="00BE74F0" w:rsidRPr="00BD28E1">
        <w:rPr>
          <w:lang w:val="fr-CA"/>
        </w:rPr>
        <w:t> </w:t>
      </w:r>
      <w:r w:rsidRPr="00BD28E1">
        <w:rPr>
          <w:lang w:val="fr-CA"/>
        </w:rPr>
        <w:t>2024, le Sénat procédera à un examen de sa politique et de ses processus d</w:t>
      </w:r>
      <w:r w:rsidR="00F976EE" w:rsidRPr="00BD28E1">
        <w:rPr>
          <w:lang w:val="fr-CA"/>
        </w:rPr>
        <w:t>’</w:t>
      </w:r>
      <w:r w:rsidRPr="00BD28E1">
        <w:rPr>
          <w:lang w:val="fr-CA"/>
        </w:rPr>
        <w:t xml:space="preserve">adaptation pour les employés </w:t>
      </w:r>
      <w:r w:rsidR="00AD6B7C" w:rsidRPr="00BD28E1">
        <w:rPr>
          <w:lang w:val="fr-CA"/>
        </w:rPr>
        <w:t>en situation de handicap</w:t>
      </w:r>
      <w:r w:rsidRPr="00BD28E1">
        <w:rPr>
          <w:lang w:val="fr-CA"/>
        </w:rPr>
        <w:t xml:space="preserve">. </w:t>
      </w:r>
      <w:r w:rsidR="00D32BC7" w:rsidRPr="00BD28E1">
        <w:rPr>
          <w:lang w:val="fr-CA"/>
        </w:rPr>
        <w:t>Lors des activités d</w:t>
      </w:r>
      <w:r w:rsidR="00F976EE" w:rsidRPr="00BD28E1">
        <w:rPr>
          <w:lang w:val="fr-CA"/>
        </w:rPr>
        <w:t>’</w:t>
      </w:r>
      <w:r w:rsidR="00D32BC7" w:rsidRPr="00BD28E1">
        <w:rPr>
          <w:lang w:val="fr-CA"/>
        </w:rPr>
        <w:t>accueil des nouveaux employés, on les informera sur</w:t>
      </w:r>
      <w:r w:rsidRPr="00BD28E1">
        <w:rPr>
          <w:lang w:val="fr-CA"/>
        </w:rPr>
        <w:t xml:space="preserve"> les aménagements disponibles et les modalités pour les demander</w:t>
      </w:r>
      <w:r w:rsidR="00D32BC7" w:rsidRPr="00BD28E1">
        <w:rPr>
          <w:lang w:val="fr-CA"/>
        </w:rPr>
        <w:t>. Un guichet unique sera mis en place pour les demandes d’aménagement.</w:t>
      </w:r>
      <w:r w:rsidRPr="00BD28E1">
        <w:rPr>
          <w:lang w:val="fr-CA"/>
        </w:rPr>
        <w:t xml:space="preserve"> </w:t>
      </w:r>
    </w:p>
    <w:p w14:paraId="21A470EA" w14:textId="31DD42F4" w:rsidR="00CF391F" w:rsidRPr="00BD28E1" w:rsidRDefault="00CF391F" w:rsidP="00911C8D">
      <w:pPr>
        <w:pStyle w:val="Bodynumberedlist"/>
        <w:numPr>
          <w:ilvl w:val="0"/>
          <w:numId w:val="4"/>
        </w:numPr>
        <w:rPr>
          <w:lang w:val="fr-CA"/>
        </w:rPr>
      </w:pPr>
      <w:r w:rsidRPr="00BD28E1">
        <w:rPr>
          <w:lang w:val="fr-CA"/>
        </w:rPr>
        <w:t>D</w:t>
      </w:r>
      <w:r w:rsidR="00F976EE" w:rsidRPr="00BD28E1">
        <w:rPr>
          <w:lang w:val="fr-CA"/>
        </w:rPr>
        <w:t>’</w:t>
      </w:r>
      <w:r w:rsidRPr="00BD28E1">
        <w:rPr>
          <w:lang w:val="fr-CA"/>
        </w:rPr>
        <w:t>ici fin</w:t>
      </w:r>
      <w:r w:rsidR="00BE74F0" w:rsidRPr="00BD28E1">
        <w:rPr>
          <w:lang w:val="fr-CA"/>
        </w:rPr>
        <w:t> </w:t>
      </w:r>
      <w:r w:rsidRPr="00BD28E1">
        <w:rPr>
          <w:lang w:val="fr-CA"/>
        </w:rPr>
        <w:t>2025, le Sénat procédera à un examen des politiques, procédures et pratiques d</w:t>
      </w:r>
      <w:r w:rsidR="00F976EE" w:rsidRPr="00BD28E1">
        <w:rPr>
          <w:lang w:val="fr-CA"/>
        </w:rPr>
        <w:t>’</w:t>
      </w:r>
      <w:r w:rsidRPr="00BD28E1">
        <w:rPr>
          <w:lang w:val="fr-CA"/>
        </w:rPr>
        <w:t>acquisition et de gestion des talents afin d</w:t>
      </w:r>
      <w:r w:rsidR="00F976EE" w:rsidRPr="00BD28E1">
        <w:rPr>
          <w:lang w:val="fr-CA"/>
        </w:rPr>
        <w:t>’</w:t>
      </w:r>
      <w:r w:rsidRPr="00BD28E1">
        <w:rPr>
          <w:lang w:val="fr-CA"/>
        </w:rPr>
        <w:t>identifier et d</w:t>
      </w:r>
      <w:r w:rsidR="00F976EE" w:rsidRPr="00BD28E1">
        <w:rPr>
          <w:lang w:val="fr-CA"/>
        </w:rPr>
        <w:t>’</w:t>
      </w:r>
      <w:r w:rsidRPr="00BD28E1">
        <w:rPr>
          <w:lang w:val="fr-CA"/>
        </w:rPr>
        <w:t xml:space="preserve">éliminer tout obstacle pour les </w:t>
      </w:r>
      <w:r w:rsidR="0031675D" w:rsidRPr="00BD28E1">
        <w:rPr>
          <w:lang w:val="fr-CA"/>
        </w:rPr>
        <w:t xml:space="preserve">personnes </w:t>
      </w:r>
      <w:r w:rsidR="00AD6B7C" w:rsidRPr="00BD28E1">
        <w:rPr>
          <w:lang w:val="fr-CA"/>
        </w:rPr>
        <w:t>en situation de handicap</w:t>
      </w:r>
      <w:r w:rsidRPr="00BD28E1">
        <w:rPr>
          <w:lang w:val="fr-CA"/>
        </w:rPr>
        <w:t xml:space="preserve">. </w:t>
      </w:r>
    </w:p>
    <w:p w14:paraId="54607210" w14:textId="689B187C" w:rsidR="00B64599" w:rsidRPr="00BD28E1" w:rsidRDefault="00CF391F" w:rsidP="00911C8D">
      <w:pPr>
        <w:pStyle w:val="Bodynumberedlist"/>
        <w:numPr>
          <w:ilvl w:val="0"/>
          <w:numId w:val="4"/>
        </w:numPr>
        <w:rPr>
          <w:lang w:val="fr-CA"/>
        </w:rPr>
      </w:pPr>
      <w:r w:rsidRPr="00BD28E1">
        <w:rPr>
          <w:lang w:val="fr-CA"/>
        </w:rPr>
        <w:t>D</w:t>
      </w:r>
      <w:r w:rsidR="00F976EE" w:rsidRPr="00BD28E1">
        <w:rPr>
          <w:lang w:val="fr-CA"/>
        </w:rPr>
        <w:t>’</w:t>
      </w:r>
      <w:r w:rsidRPr="00BD28E1">
        <w:rPr>
          <w:lang w:val="fr-CA"/>
        </w:rPr>
        <w:t>ici fin</w:t>
      </w:r>
      <w:r w:rsidR="00BE74F0" w:rsidRPr="00BD28E1">
        <w:rPr>
          <w:lang w:val="fr-CA"/>
        </w:rPr>
        <w:t> </w:t>
      </w:r>
      <w:r w:rsidRPr="00BD28E1">
        <w:rPr>
          <w:lang w:val="fr-CA"/>
        </w:rPr>
        <w:t>2025, le Sénat examinera ses systèmes afin d</w:t>
      </w:r>
      <w:r w:rsidR="00F976EE" w:rsidRPr="00BD28E1">
        <w:rPr>
          <w:lang w:val="fr-CA"/>
        </w:rPr>
        <w:t>’</w:t>
      </w:r>
      <w:r w:rsidRPr="00BD28E1">
        <w:rPr>
          <w:lang w:val="fr-CA"/>
        </w:rPr>
        <w:t>améliorer la collecte et le suivi des données relatives aux ressources humaines, y compris en ce qui concerne le recrutement, l</w:t>
      </w:r>
      <w:r w:rsidR="00F976EE" w:rsidRPr="00BD28E1">
        <w:rPr>
          <w:lang w:val="fr-CA"/>
        </w:rPr>
        <w:t>’</w:t>
      </w:r>
      <w:r w:rsidRPr="00BD28E1">
        <w:rPr>
          <w:lang w:val="fr-CA"/>
        </w:rPr>
        <w:t>avancement et la rétention.</w:t>
      </w:r>
      <w:r w:rsidR="0DEA94CA" w:rsidRPr="00BD28E1">
        <w:rPr>
          <w:lang w:val="fr-CA"/>
        </w:rPr>
        <w:t xml:space="preserve"> </w:t>
      </w:r>
    </w:p>
    <w:p w14:paraId="6D00B917" w14:textId="3ADF33B7" w:rsidR="0004730A" w:rsidRPr="00BD28E1" w:rsidRDefault="00970201" w:rsidP="00911C8D">
      <w:pPr>
        <w:pStyle w:val="Bodynumberedlist"/>
        <w:numPr>
          <w:ilvl w:val="0"/>
          <w:numId w:val="4"/>
        </w:numPr>
        <w:rPr>
          <w:lang w:val="fr-CA"/>
        </w:rPr>
      </w:pPr>
      <w:r w:rsidRPr="00BD28E1">
        <w:rPr>
          <w:lang w:val="fr-CA"/>
        </w:rPr>
        <w:t xml:space="preserve">Le Sénat continuera à soutenir les groupes du réseau des employés, y compris le groupe pour les membres </w:t>
      </w:r>
      <w:r w:rsidR="00AD6B7C" w:rsidRPr="00BD28E1">
        <w:rPr>
          <w:lang w:val="fr-CA"/>
        </w:rPr>
        <w:t>en situation de handicap</w:t>
      </w:r>
      <w:r w:rsidR="006551F3" w:rsidRPr="00BD28E1">
        <w:rPr>
          <w:lang w:val="fr-CA"/>
        </w:rPr>
        <w:t xml:space="preserve"> </w:t>
      </w:r>
      <w:r w:rsidRPr="00BD28E1">
        <w:rPr>
          <w:lang w:val="fr-CA"/>
        </w:rPr>
        <w:t>du personnel de l</w:t>
      </w:r>
      <w:r w:rsidR="00F976EE" w:rsidRPr="00BD28E1">
        <w:rPr>
          <w:lang w:val="fr-CA"/>
        </w:rPr>
        <w:t>’</w:t>
      </w:r>
      <w:r w:rsidRPr="00BD28E1">
        <w:rPr>
          <w:lang w:val="fr-CA"/>
        </w:rPr>
        <w:t>administration du Séna</w:t>
      </w:r>
      <w:r w:rsidR="006551F3" w:rsidRPr="00BD28E1">
        <w:rPr>
          <w:lang w:val="fr-CA"/>
        </w:rPr>
        <w:t>t</w:t>
      </w:r>
      <w:r w:rsidR="0004730A" w:rsidRPr="00BD28E1">
        <w:rPr>
          <w:lang w:val="fr-CA"/>
        </w:rPr>
        <w:t xml:space="preserve">. </w:t>
      </w:r>
    </w:p>
    <w:p w14:paraId="45481601" w14:textId="29CA5FAE" w:rsidR="00591AEC" w:rsidRPr="00020975" w:rsidRDefault="008B3564" w:rsidP="00911C8D">
      <w:pPr>
        <w:pStyle w:val="Heading2"/>
        <w:rPr>
          <w:lang w:val="fr-CA"/>
        </w:rPr>
      </w:pPr>
      <w:bookmarkStart w:id="22" w:name="_Toc117886756"/>
      <w:r w:rsidRPr="008B3564">
        <w:rPr>
          <w:lang w:val="fr-CA"/>
        </w:rPr>
        <w:t>Technologies de l’information et des communications</w:t>
      </w:r>
      <w:r>
        <w:rPr>
          <w:lang w:val="fr-CA"/>
        </w:rPr>
        <w:t xml:space="preserve"> </w:t>
      </w:r>
      <w:r w:rsidR="00591AEC" w:rsidRPr="00020975">
        <w:rPr>
          <w:lang w:val="fr-CA"/>
        </w:rPr>
        <w:t>(</w:t>
      </w:r>
      <w:r>
        <w:rPr>
          <w:lang w:val="fr-CA"/>
        </w:rPr>
        <w:t>TIC</w:t>
      </w:r>
      <w:r w:rsidR="00591AEC" w:rsidRPr="00020975">
        <w:rPr>
          <w:lang w:val="fr-CA"/>
        </w:rPr>
        <w:t>)</w:t>
      </w:r>
      <w:bookmarkEnd w:id="22"/>
      <w:r w:rsidR="00591AEC" w:rsidRPr="00020975">
        <w:rPr>
          <w:lang w:val="fr-CA"/>
        </w:rPr>
        <w:t xml:space="preserve"> </w:t>
      </w:r>
    </w:p>
    <w:p w14:paraId="25CF5622" w14:textId="5793FD77" w:rsidR="00AB1D96" w:rsidRPr="00020975" w:rsidRDefault="008B3564" w:rsidP="00911C8D">
      <w:pPr>
        <w:pStyle w:val="Heading3"/>
        <w:rPr>
          <w:lang w:val="fr-CA"/>
        </w:rPr>
      </w:pPr>
      <w:bookmarkStart w:id="23" w:name="_Toc117886757"/>
      <w:r>
        <w:rPr>
          <w:lang w:val="fr-CA"/>
        </w:rPr>
        <w:t>Aperçu</w:t>
      </w:r>
      <w:bookmarkEnd w:id="23"/>
      <w:r w:rsidR="00AB1D96" w:rsidRPr="00020975">
        <w:rPr>
          <w:lang w:val="fr-CA"/>
        </w:rPr>
        <w:t xml:space="preserve"> </w:t>
      </w:r>
    </w:p>
    <w:p w14:paraId="61F1AEC8" w14:textId="2EF4EFE4" w:rsidR="000D36DB" w:rsidRDefault="000D36DB" w:rsidP="00BD28E1">
      <w:pPr>
        <w:rPr>
          <w:lang w:val="fr-CA"/>
        </w:rPr>
      </w:pPr>
      <w:r w:rsidRPr="000D36DB">
        <w:rPr>
          <w:lang w:val="fr-CA"/>
        </w:rPr>
        <w:t>Le Sénat produit et distribue des informations sur le Sénat, les sénateurs et leur travail. L</w:t>
      </w:r>
      <w:r w:rsidR="00F976EE">
        <w:rPr>
          <w:lang w:val="fr-CA"/>
        </w:rPr>
        <w:t>’</w:t>
      </w:r>
      <w:r w:rsidRPr="000D36DB">
        <w:rPr>
          <w:lang w:val="fr-CA"/>
        </w:rPr>
        <w:t xml:space="preserve">information produite par le Sénat est principalement partagée par le biais de son site Web public et de ses plateformes de médias sociaux. Le site Web contient des liens vers </w:t>
      </w:r>
      <w:r w:rsidRPr="000D36DB">
        <w:rPr>
          <w:lang w:val="fr-CA"/>
        </w:rPr>
        <w:lastRenderedPageBreak/>
        <w:t xml:space="preserve">de nombreux documents (dont beaucoup sont historiques) qui sont disponibles en format Web (HTML) et PDF. </w:t>
      </w:r>
    </w:p>
    <w:p w14:paraId="5D82990C" w14:textId="004DF1F3" w:rsidR="000D36DB" w:rsidRDefault="001A0615" w:rsidP="00BD28E1">
      <w:pPr>
        <w:rPr>
          <w:lang w:val="fr-CA"/>
        </w:rPr>
      </w:pPr>
      <w:r>
        <w:rPr>
          <w:lang w:val="fr-CA"/>
        </w:rPr>
        <w:t>À l’</w:t>
      </w:r>
      <w:r w:rsidR="000D36DB" w:rsidRPr="000D36DB">
        <w:rPr>
          <w:lang w:val="fr-CA"/>
        </w:rPr>
        <w:t>interne, le Sénat utilise un site intranet connu sous le nom d</w:t>
      </w:r>
      <w:r w:rsidR="00F976EE">
        <w:rPr>
          <w:lang w:val="fr-CA"/>
        </w:rPr>
        <w:t>’</w:t>
      </w:r>
      <w:proofErr w:type="spellStart"/>
      <w:r w:rsidR="000D36DB" w:rsidRPr="000D36DB">
        <w:rPr>
          <w:lang w:val="fr-CA"/>
        </w:rPr>
        <w:t>IntraSEN</w:t>
      </w:r>
      <w:proofErr w:type="spellEnd"/>
      <w:r w:rsidR="000D36DB" w:rsidRPr="000D36DB">
        <w:rPr>
          <w:lang w:val="fr-CA"/>
        </w:rPr>
        <w:t>. Cet intranet est utilisé pour les communications internes et fournit des informations et des outils pour soutenir les sénateurs et les membres du personnel dans leur travail. Les sénateurs et le personnel du Sénat utilisent également une variété d</w:t>
      </w:r>
      <w:r w:rsidR="00F976EE">
        <w:rPr>
          <w:lang w:val="fr-CA"/>
        </w:rPr>
        <w:t>’</w:t>
      </w:r>
      <w:r w:rsidR="000D36DB" w:rsidRPr="000D36DB">
        <w:rPr>
          <w:lang w:val="fr-CA"/>
        </w:rPr>
        <w:t>applications logicielles dans leurs activités quotidiennes, notamment la suite Microsoft Office, Microsoft Teams et Zoom.</w:t>
      </w:r>
    </w:p>
    <w:p w14:paraId="7F3B4081" w14:textId="2443152B" w:rsidR="000D36DB" w:rsidRPr="00020975" w:rsidRDefault="000D36DB" w:rsidP="00911C8D">
      <w:pPr>
        <w:pStyle w:val="Heading3"/>
        <w:rPr>
          <w:lang w:val="fr-CA"/>
        </w:rPr>
      </w:pPr>
      <w:bookmarkStart w:id="24" w:name="_Toc117886758"/>
      <w:r w:rsidRPr="00EA00CF">
        <w:rPr>
          <w:lang w:val="fr-CA"/>
        </w:rPr>
        <w:t>État actuel de l’accessibilité</w:t>
      </w:r>
      <w:bookmarkEnd w:id="24"/>
    </w:p>
    <w:p w14:paraId="73F40D73" w14:textId="6B270E95" w:rsidR="00D505E3" w:rsidRPr="00020975" w:rsidRDefault="000D36DB" w:rsidP="00BD28E1">
      <w:pPr>
        <w:rPr>
          <w:lang w:val="fr-CA"/>
        </w:rPr>
      </w:pPr>
      <w:r w:rsidRPr="000D36DB">
        <w:rPr>
          <w:lang w:val="fr-CA"/>
        </w:rPr>
        <w:t>À quelques exceptions près, les sites Web publics et internes du Sénat sont conformes aux exigences WCAG</w:t>
      </w:r>
      <w:r w:rsidR="00BE74F0">
        <w:rPr>
          <w:lang w:val="fr-CA"/>
        </w:rPr>
        <w:t> </w:t>
      </w:r>
      <w:r w:rsidRPr="000D36DB">
        <w:rPr>
          <w:lang w:val="fr-CA"/>
        </w:rPr>
        <w:t>2.1 AA. On a mis en place des tests d</w:t>
      </w:r>
      <w:r w:rsidR="00F976EE">
        <w:rPr>
          <w:lang w:val="fr-CA"/>
        </w:rPr>
        <w:t>’</w:t>
      </w:r>
      <w:r w:rsidRPr="000D36DB">
        <w:rPr>
          <w:lang w:val="fr-CA"/>
        </w:rPr>
        <w:t xml:space="preserve">accessibilité automatisés récurrents pour ces sites. Les </w:t>
      </w:r>
      <w:r w:rsidR="00A75036">
        <w:rPr>
          <w:lang w:val="fr-CA"/>
        </w:rPr>
        <w:t>lacunes</w:t>
      </w:r>
      <w:r w:rsidRPr="000D36DB">
        <w:rPr>
          <w:lang w:val="fr-CA"/>
        </w:rPr>
        <w:t xml:space="preserve"> restant</w:t>
      </w:r>
      <w:r w:rsidR="00A75036">
        <w:rPr>
          <w:lang w:val="fr-CA"/>
        </w:rPr>
        <w:t>e</w:t>
      </w:r>
      <w:r w:rsidRPr="000D36DB">
        <w:rPr>
          <w:lang w:val="fr-CA"/>
        </w:rPr>
        <w:t>s seront traité</w:t>
      </w:r>
      <w:r w:rsidR="00A75036">
        <w:rPr>
          <w:lang w:val="fr-CA"/>
        </w:rPr>
        <w:t>e</w:t>
      </w:r>
      <w:r w:rsidRPr="000D36DB">
        <w:rPr>
          <w:lang w:val="fr-CA"/>
        </w:rPr>
        <w:t>s</w:t>
      </w:r>
      <w:r w:rsidR="00A75036">
        <w:rPr>
          <w:lang w:val="fr-CA"/>
        </w:rPr>
        <w:t xml:space="preserve"> ci-bas</w:t>
      </w:r>
      <w:r w:rsidRPr="000D36DB">
        <w:rPr>
          <w:lang w:val="fr-CA"/>
        </w:rPr>
        <w:t xml:space="preserve"> dans le cadre de ce plan</w:t>
      </w:r>
      <w:r w:rsidR="2990ECBD" w:rsidRPr="00020975">
        <w:rPr>
          <w:lang w:val="fr-CA"/>
        </w:rPr>
        <w:t>.</w:t>
      </w:r>
      <w:r w:rsidR="0429D74D" w:rsidRPr="00020975">
        <w:rPr>
          <w:lang w:val="fr-CA"/>
        </w:rPr>
        <w:t xml:space="preserve"> </w:t>
      </w:r>
    </w:p>
    <w:p w14:paraId="4EA00711" w14:textId="63B04343" w:rsidR="00D05E31" w:rsidRPr="00020975" w:rsidRDefault="006921F5" w:rsidP="00BD28E1">
      <w:pPr>
        <w:rPr>
          <w:lang w:val="fr-CA"/>
        </w:rPr>
      </w:pPr>
      <w:r w:rsidRPr="006921F5">
        <w:rPr>
          <w:lang w:val="fr-CA"/>
        </w:rPr>
        <w:t xml:space="preserve">Les documents plus récents publiés sur notre intranet </w:t>
      </w:r>
      <w:r w:rsidR="00A75036">
        <w:rPr>
          <w:lang w:val="fr-CA"/>
        </w:rPr>
        <w:t>s</w:t>
      </w:r>
      <w:r w:rsidRPr="006921F5">
        <w:rPr>
          <w:lang w:val="fr-CA"/>
        </w:rPr>
        <w:t>ont</w:t>
      </w:r>
      <w:r w:rsidR="00A75036">
        <w:rPr>
          <w:lang w:val="fr-CA"/>
        </w:rPr>
        <w:t xml:space="preserve"> plus </w:t>
      </w:r>
      <w:r w:rsidRPr="006921F5">
        <w:rPr>
          <w:lang w:val="fr-CA"/>
        </w:rPr>
        <w:t>accessibles</w:t>
      </w:r>
      <w:r w:rsidR="00A75036">
        <w:rPr>
          <w:lang w:val="fr-CA"/>
        </w:rPr>
        <w:t xml:space="preserve"> que les plus ancien</w:t>
      </w:r>
      <w:r w:rsidR="002E7A0D">
        <w:rPr>
          <w:lang w:val="fr-CA"/>
        </w:rPr>
        <w:t>s</w:t>
      </w:r>
      <w:r w:rsidR="00C00E9A">
        <w:rPr>
          <w:lang w:val="fr-CA"/>
        </w:rPr>
        <w:t>,</w:t>
      </w:r>
      <w:r w:rsidRPr="006921F5">
        <w:rPr>
          <w:lang w:val="fr-CA"/>
        </w:rPr>
        <w:t xml:space="preserve"> car le Sénat a récemment élaboré des modèles et des guides pour la création de documents accessibles. </w:t>
      </w:r>
      <w:r w:rsidR="002E7A0D">
        <w:rPr>
          <w:lang w:val="fr-CA"/>
        </w:rPr>
        <w:t>Les</w:t>
      </w:r>
      <w:r w:rsidRPr="006921F5">
        <w:rPr>
          <w:lang w:val="fr-CA"/>
        </w:rPr>
        <w:t xml:space="preserve"> documents internes présent</w:t>
      </w:r>
      <w:r w:rsidR="002E7A0D">
        <w:rPr>
          <w:lang w:val="fr-CA"/>
        </w:rPr>
        <w:t>ant</w:t>
      </w:r>
      <w:r w:rsidRPr="006921F5">
        <w:rPr>
          <w:lang w:val="fr-CA"/>
        </w:rPr>
        <w:t xml:space="preserve"> des problèmes d</w:t>
      </w:r>
      <w:r w:rsidR="00F976EE">
        <w:rPr>
          <w:lang w:val="fr-CA"/>
        </w:rPr>
        <w:t>’</w:t>
      </w:r>
      <w:r w:rsidRPr="006921F5">
        <w:rPr>
          <w:lang w:val="fr-CA"/>
        </w:rPr>
        <w:t xml:space="preserve">accessibilité </w:t>
      </w:r>
      <w:r w:rsidR="002E7A0D">
        <w:rPr>
          <w:lang w:val="fr-CA"/>
        </w:rPr>
        <w:t>seront répertoriés afin d’être corrigés.</w:t>
      </w:r>
    </w:p>
    <w:p w14:paraId="29B183AD" w14:textId="0C33A0F4" w:rsidR="743C65B9" w:rsidRPr="001D6537" w:rsidRDefault="005A146A" w:rsidP="00BD28E1">
      <w:pPr>
        <w:rPr>
          <w:lang w:val="fr-CA"/>
        </w:rPr>
      </w:pPr>
      <w:r w:rsidRPr="005A146A">
        <w:rPr>
          <w:lang w:val="fr-CA"/>
        </w:rPr>
        <w:t>Les employés de l</w:t>
      </w:r>
      <w:r w:rsidR="00F976EE">
        <w:rPr>
          <w:lang w:val="fr-CA"/>
        </w:rPr>
        <w:t>’</w:t>
      </w:r>
      <w:r w:rsidRPr="005A146A">
        <w:rPr>
          <w:lang w:val="fr-CA"/>
        </w:rPr>
        <w:t>administration qui publient des messages sur les médias sociaux au nom du Sénat ont reçu une formation limitée sur l</w:t>
      </w:r>
      <w:r w:rsidR="00F976EE">
        <w:rPr>
          <w:lang w:val="fr-CA"/>
        </w:rPr>
        <w:t>’</w:t>
      </w:r>
      <w:r w:rsidRPr="005A146A">
        <w:rPr>
          <w:lang w:val="fr-CA"/>
        </w:rPr>
        <w:t>accessibilité, et certaines fonctions d</w:t>
      </w:r>
      <w:r w:rsidR="00F976EE">
        <w:rPr>
          <w:lang w:val="fr-CA"/>
        </w:rPr>
        <w:t>’</w:t>
      </w:r>
      <w:r w:rsidRPr="005A146A">
        <w:rPr>
          <w:lang w:val="fr-CA"/>
        </w:rPr>
        <w:t xml:space="preserve">accessibilité ont été intégrées aux messages sur les médias sociaux lorsque les plateformes le permettent. </w:t>
      </w:r>
    </w:p>
    <w:p w14:paraId="3EA6816F" w14:textId="2F6850BF" w:rsidR="005D6D32" w:rsidRPr="00707ABA" w:rsidRDefault="00707ABA" w:rsidP="00911C8D">
      <w:pPr>
        <w:pStyle w:val="Heading3"/>
        <w:rPr>
          <w:lang w:val="fr-CA"/>
        </w:rPr>
      </w:pPr>
      <w:bookmarkStart w:id="25" w:name="_Toc117886759"/>
      <w:r>
        <w:rPr>
          <w:lang w:val="fr-CA"/>
        </w:rPr>
        <w:t>Objectifs en matière d’accessibilité</w:t>
      </w:r>
      <w:bookmarkEnd w:id="25"/>
    </w:p>
    <w:p w14:paraId="2140659E" w14:textId="3D31B13D" w:rsidR="00930A61" w:rsidRPr="001F7D21" w:rsidRDefault="00F47AB6" w:rsidP="00911C8D">
      <w:pPr>
        <w:pStyle w:val="Bodynumberedlist"/>
        <w:numPr>
          <w:ilvl w:val="0"/>
          <w:numId w:val="5"/>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2023, le Sénat élaborera un plan d</w:t>
      </w:r>
      <w:r w:rsidR="00F976EE" w:rsidRPr="001F7D21">
        <w:rPr>
          <w:lang w:val="fr-CA"/>
        </w:rPr>
        <w:t>’</w:t>
      </w:r>
      <w:r w:rsidRPr="001F7D21">
        <w:rPr>
          <w:lang w:val="fr-CA"/>
        </w:rPr>
        <w:t>action pour poursuivre l</w:t>
      </w:r>
      <w:r w:rsidR="00F976EE" w:rsidRPr="001F7D21">
        <w:rPr>
          <w:lang w:val="fr-CA"/>
        </w:rPr>
        <w:t>’</w:t>
      </w:r>
      <w:r w:rsidRPr="001F7D21">
        <w:rPr>
          <w:lang w:val="fr-CA"/>
        </w:rPr>
        <w:t>examen et la correction de tous les documents et formulaires internes et externes. Ce plan décrira l</w:t>
      </w:r>
      <w:r w:rsidR="00F976EE" w:rsidRPr="001F7D21">
        <w:rPr>
          <w:lang w:val="fr-CA"/>
        </w:rPr>
        <w:t>’</w:t>
      </w:r>
      <w:r w:rsidRPr="001F7D21">
        <w:rPr>
          <w:lang w:val="fr-CA"/>
        </w:rPr>
        <w:t>ordre dans lequel les documents seront examinés et corrigés, en commençant par les documents et formulaires les plus importants et les plus fréquemment utilisés.</w:t>
      </w:r>
      <w:r w:rsidR="007328EE" w:rsidRPr="001F7D21">
        <w:rPr>
          <w:lang w:val="fr-CA"/>
        </w:rPr>
        <w:t xml:space="preserve"> </w:t>
      </w:r>
    </w:p>
    <w:p w14:paraId="0620F3C0" w14:textId="73638859" w:rsidR="00943564" w:rsidRPr="001F7D21" w:rsidRDefault="00141BA9" w:rsidP="00911C8D">
      <w:pPr>
        <w:pStyle w:val="Bodynumberedlist"/>
        <w:numPr>
          <w:ilvl w:val="0"/>
          <w:numId w:val="5"/>
        </w:numPr>
        <w:rPr>
          <w:lang w:val="fr-CA"/>
        </w:rPr>
      </w:pPr>
      <w:r w:rsidRPr="001F7D21">
        <w:rPr>
          <w:lang w:val="fr-CA"/>
        </w:rPr>
        <w:lastRenderedPageBreak/>
        <w:t>D</w:t>
      </w:r>
      <w:r w:rsidR="00F976EE" w:rsidRPr="001F7D21">
        <w:rPr>
          <w:lang w:val="fr-CA"/>
        </w:rPr>
        <w:t>’</w:t>
      </w:r>
      <w:r w:rsidRPr="001F7D21">
        <w:rPr>
          <w:lang w:val="fr-CA"/>
        </w:rPr>
        <w:t>ici fin</w:t>
      </w:r>
      <w:r w:rsidR="00BE74F0" w:rsidRPr="001F7D21">
        <w:rPr>
          <w:lang w:val="fr-CA"/>
        </w:rPr>
        <w:t> </w:t>
      </w:r>
      <w:r w:rsidRPr="001F7D21">
        <w:rPr>
          <w:lang w:val="fr-CA"/>
        </w:rPr>
        <w:t>2024, tous les employés de l</w:t>
      </w:r>
      <w:r w:rsidR="00F976EE" w:rsidRPr="001F7D21">
        <w:rPr>
          <w:lang w:val="fr-CA"/>
        </w:rPr>
        <w:t>’</w:t>
      </w:r>
      <w:r w:rsidRPr="001F7D21">
        <w:rPr>
          <w:lang w:val="fr-CA"/>
        </w:rPr>
        <w:t>administration du Sénat et les nouvelles recrues responsables du développement, de la mise à jour et de la maintenance du site Web interne ou destiné au public, ou de la création de contenu pour les médias sociaux, recevront une formation sur l</w:t>
      </w:r>
      <w:r w:rsidR="00F976EE" w:rsidRPr="001F7D21">
        <w:rPr>
          <w:lang w:val="fr-CA"/>
        </w:rPr>
        <w:t>’</w:t>
      </w:r>
      <w:r w:rsidRPr="001F7D21">
        <w:rPr>
          <w:lang w:val="fr-CA"/>
        </w:rPr>
        <w:t>accessibilité du Web.</w:t>
      </w:r>
      <w:r w:rsidR="08AC1F10" w:rsidRPr="001F7D21">
        <w:rPr>
          <w:lang w:val="fr-CA"/>
        </w:rPr>
        <w:t xml:space="preserve"> </w:t>
      </w:r>
    </w:p>
    <w:p w14:paraId="3FDC863A" w14:textId="0B04B8FB" w:rsidR="00FB129F" w:rsidRPr="001F7D21" w:rsidRDefault="00747C8E" w:rsidP="00911C8D">
      <w:pPr>
        <w:pStyle w:val="Bodynumberedlist"/>
        <w:numPr>
          <w:ilvl w:val="0"/>
          <w:numId w:val="5"/>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 xml:space="preserve">2024, tous les employés actuels du Sénat et les nouveaux employés </w:t>
      </w:r>
      <w:r w:rsidR="00B85B8E" w:rsidRPr="001F7D21">
        <w:rPr>
          <w:lang w:val="fr-CA"/>
        </w:rPr>
        <w:t xml:space="preserve">qui préparent des documents </w:t>
      </w:r>
      <w:r w:rsidRPr="001F7D21">
        <w:rPr>
          <w:lang w:val="fr-CA"/>
        </w:rPr>
        <w:t>recevront une formation sur la façon de rendre les documents accessibles. Cette formation portera notamment sur les cas où le format PDF doit être utilisé, les cas où il doit être évité et la manière de rendre les PDF accessibles.</w:t>
      </w:r>
    </w:p>
    <w:p w14:paraId="226B7A1A" w14:textId="3E6B18B0" w:rsidR="00FB129F" w:rsidRPr="001F7D21" w:rsidRDefault="005C681D" w:rsidP="00911C8D">
      <w:pPr>
        <w:pStyle w:val="Bodynumberedlist"/>
        <w:numPr>
          <w:ilvl w:val="0"/>
          <w:numId w:val="5"/>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2024, le Sénat créera un processus permettant de procéder à des examens réguliers des documents pour en vérifier l</w:t>
      </w:r>
      <w:r w:rsidR="00F976EE" w:rsidRPr="001F7D21">
        <w:rPr>
          <w:lang w:val="fr-CA"/>
        </w:rPr>
        <w:t>’</w:t>
      </w:r>
      <w:r w:rsidRPr="001F7D21">
        <w:rPr>
          <w:lang w:val="fr-CA"/>
        </w:rPr>
        <w:t>accessibilité.</w:t>
      </w:r>
      <w:r w:rsidR="00D81AF9" w:rsidRPr="001F7D21">
        <w:rPr>
          <w:lang w:val="fr-CA"/>
        </w:rPr>
        <w:t xml:space="preserve"> </w:t>
      </w:r>
    </w:p>
    <w:p w14:paraId="0E2DEB2D" w14:textId="595C3A3D" w:rsidR="00F20B25" w:rsidRPr="001F7D21" w:rsidRDefault="009D7D27" w:rsidP="00911C8D">
      <w:pPr>
        <w:pStyle w:val="Bodynumberedlist"/>
        <w:numPr>
          <w:ilvl w:val="0"/>
          <w:numId w:val="5"/>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2025, le Sénat procédera à un examen approfondi de toutes les applications logicielles développées en interne ou acquises auprès de tiers afin d</w:t>
      </w:r>
      <w:r w:rsidR="00F976EE" w:rsidRPr="001F7D21">
        <w:rPr>
          <w:lang w:val="fr-CA"/>
        </w:rPr>
        <w:t>’</w:t>
      </w:r>
      <w:r w:rsidRPr="001F7D21">
        <w:rPr>
          <w:lang w:val="fr-CA"/>
        </w:rPr>
        <w:t>identifier tout obstacle potentiel à l</w:t>
      </w:r>
      <w:r w:rsidR="00F976EE" w:rsidRPr="001F7D21">
        <w:rPr>
          <w:lang w:val="fr-CA"/>
        </w:rPr>
        <w:t>’</w:t>
      </w:r>
      <w:r w:rsidRPr="001F7D21">
        <w:rPr>
          <w:lang w:val="fr-CA"/>
        </w:rPr>
        <w:t>accessibilité. Un plan d</w:t>
      </w:r>
      <w:r w:rsidR="00F976EE" w:rsidRPr="001F7D21">
        <w:rPr>
          <w:lang w:val="fr-CA"/>
        </w:rPr>
        <w:t>’</w:t>
      </w:r>
      <w:r w:rsidRPr="001F7D21">
        <w:rPr>
          <w:lang w:val="fr-CA"/>
        </w:rPr>
        <w:t>action sera élaboré pour éliminer tout obstacle identifié.</w:t>
      </w:r>
    </w:p>
    <w:p w14:paraId="4D6B6B5C" w14:textId="09F39789" w:rsidR="001E271B" w:rsidRPr="001F7D21" w:rsidRDefault="006B0C9E" w:rsidP="00911C8D">
      <w:pPr>
        <w:pStyle w:val="Bodynumberedlist"/>
        <w:numPr>
          <w:ilvl w:val="0"/>
          <w:numId w:val="5"/>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2025, le Sénat effectuera des tests</w:t>
      </w:r>
      <w:r w:rsidR="003908A1" w:rsidRPr="001F7D21">
        <w:rPr>
          <w:lang w:val="fr-CA"/>
        </w:rPr>
        <w:t xml:space="preserve"> utilisateurs</w:t>
      </w:r>
      <w:r w:rsidRPr="001F7D21">
        <w:rPr>
          <w:lang w:val="fr-CA"/>
        </w:rPr>
        <w:t xml:space="preserve"> des sites Web internes et publics afin de repérer les obstacles. Une procédure d</w:t>
      </w:r>
      <w:r w:rsidR="00F976EE" w:rsidRPr="001F7D21">
        <w:rPr>
          <w:lang w:val="fr-CA"/>
        </w:rPr>
        <w:t>’</w:t>
      </w:r>
      <w:r w:rsidRPr="001F7D21">
        <w:rPr>
          <w:lang w:val="fr-CA"/>
        </w:rPr>
        <w:t>examen périodique de l</w:t>
      </w:r>
      <w:r w:rsidR="00F976EE" w:rsidRPr="001F7D21">
        <w:rPr>
          <w:lang w:val="fr-CA"/>
        </w:rPr>
        <w:t>’</w:t>
      </w:r>
      <w:r w:rsidRPr="001F7D21">
        <w:rPr>
          <w:lang w:val="fr-CA"/>
        </w:rPr>
        <w:t>accessibilité des sites Web sera également établie. Dans ce contexte, les tests utilisateurs sont des tests d</w:t>
      </w:r>
      <w:r w:rsidR="00F976EE" w:rsidRPr="001F7D21">
        <w:rPr>
          <w:lang w:val="fr-CA"/>
        </w:rPr>
        <w:t>’</w:t>
      </w:r>
      <w:r w:rsidRPr="001F7D21">
        <w:rPr>
          <w:lang w:val="fr-CA"/>
        </w:rPr>
        <w:t xml:space="preserve">accessibilité effectués par des </w:t>
      </w:r>
      <w:r w:rsidR="0031675D" w:rsidRPr="001F7D21">
        <w:rPr>
          <w:lang w:val="fr-CA"/>
        </w:rPr>
        <w:t xml:space="preserve">personnes </w:t>
      </w:r>
      <w:r w:rsidR="00AD6B7C" w:rsidRPr="001F7D21">
        <w:rPr>
          <w:lang w:val="fr-CA"/>
        </w:rPr>
        <w:t>en situation de handicap</w:t>
      </w:r>
      <w:r w:rsidRPr="001F7D21">
        <w:rPr>
          <w:lang w:val="fr-CA"/>
        </w:rPr>
        <w:t xml:space="preserve"> qui utilisent régulièrement des technologies d</w:t>
      </w:r>
      <w:r w:rsidR="00F976EE" w:rsidRPr="001F7D21">
        <w:rPr>
          <w:lang w:val="fr-CA"/>
        </w:rPr>
        <w:t>’</w:t>
      </w:r>
      <w:r w:rsidRPr="001F7D21">
        <w:rPr>
          <w:lang w:val="fr-CA"/>
        </w:rPr>
        <w:t>assistance.</w:t>
      </w:r>
      <w:r w:rsidR="007F4557" w:rsidRPr="001F7D21">
        <w:rPr>
          <w:lang w:val="fr-CA"/>
        </w:rPr>
        <w:t xml:space="preserve"> </w:t>
      </w:r>
    </w:p>
    <w:p w14:paraId="5DA428AE" w14:textId="547BC6FC" w:rsidR="00320D02" w:rsidRPr="00020975" w:rsidRDefault="00A03541" w:rsidP="00911C8D">
      <w:pPr>
        <w:pStyle w:val="Heading2"/>
        <w:rPr>
          <w:lang w:val="fr-CA"/>
        </w:rPr>
      </w:pPr>
      <w:bookmarkStart w:id="26" w:name="_Toc117886760"/>
      <w:r w:rsidRPr="00A03541">
        <w:t xml:space="preserve">Communications </w:t>
      </w:r>
      <w:proofErr w:type="spellStart"/>
      <w:r w:rsidRPr="00A03541">
        <w:t>autres</w:t>
      </w:r>
      <w:proofErr w:type="spellEnd"/>
      <w:r w:rsidRPr="00A03541">
        <w:t xml:space="preserve"> que TIC</w:t>
      </w:r>
      <w:bookmarkEnd w:id="26"/>
      <w:r w:rsidR="00591AEC" w:rsidRPr="00020975">
        <w:rPr>
          <w:lang w:val="fr-CA"/>
        </w:rPr>
        <w:t xml:space="preserve"> </w:t>
      </w:r>
    </w:p>
    <w:p w14:paraId="487CD2C2" w14:textId="1D9C6950" w:rsidR="00DD1FF6" w:rsidRPr="00020975" w:rsidRDefault="00A03541" w:rsidP="00911C8D">
      <w:pPr>
        <w:pStyle w:val="Heading3"/>
        <w:rPr>
          <w:lang w:val="fr-CA"/>
        </w:rPr>
      </w:pPr>
      <w:bookmarkStart w:id="27" w:name="_Toc117886761"/>
      <w:r>
        <w:rPr>
          <w:lang w:val="fr-CA"/>
        </w:rPr>
        <w:t>Aperçu</w:t>
      </w:r>
      <w:bookmarkEnd w:id="27"/>
    </w:p>
    <w:p w14:paraId="6182DA0C" w14:textId="44662C0E" w:rsidR="00320D02" w:rsidRPr="00020975" w:rsidRDefault="00A03541" w:rsidP="00C154BD">
      <w:pPr>
        <w:rPr>
          <w:lang w:val="fr-CA"/>
        </w:rPr>
      </w:pPr>
      <w:r w:rsidRPr="00A03541">
        <w:rPr>
          <w:lang w:val="fr-CA"/>
        </w:rPr>
        <w:t>Le Sénat produit un grand volume d</w:t>
      </w:r>
      <w:r w:rsidR="00F976EE">
        <w:rPr>
          <w:lang w:val="fr-CA"/>
        </w:rPr>
        <w:t>’</w:t>
      </w:r>
      <w:r w:rsidRPr="00A03541">
        <w:rPr>
          <w:lang w:val="fr-CA"/>
        </w:rPr>
        <w:t>information, et il est important que tous les Canadiens puissent y avoir accès. De nombreuses activités du Sénat</w:t>
      </w:r>
      <w:r w:rsidR="00BE74F0">
        <w:rPr>
          <w:lang w:val="fr-CA"/>
        </w:rPr>
        <w:t> —</w:t>
      </w:r>
      <w:r w:rsidR="00F9541A">
        <w:rPr>
          <w:lang w:val="fr-CA"/>
        </w:rPr>
        <w:t> </w:t>
      </w:r>
      <w:r w:rsidRPr="00A03541">
        <w:rPr>
          <w:lang w:val="fr-CA"/>
        </w:rPr>
        <w:t>comme les réunions des comités</w:t>
      </w:r>
      <w:r w:rsidR="00BE74F0">
        <w:rPr>
          <w:lang w:val="fr-CA"/>
        </w:rPr>
        <w:t> —</w:t>
      </w:r>
      <w:r w:rsidRPr="00A03541">
        <w:rPr>
          <w:lang w:val="fr-CA"/>
        </w:rPr>
        <w:t xml:space="preserve"> sont diffusées en direct. Ces diffusions en direct deviennent ensuite des vidéos sur demande auxquelles les membres du public peuvent accéder en tout temps. De plus, </w:t>
      </w:r>
      <w:r w:rsidR="00102562">
        <w:rPr>
          <w:lang w:val="fr-CA"/>
        </w:rPr>
        <w:t>le Sénat produit</w:t>
      </w:r>
      <w:r w:rsidRPr="00A03541">
        <w:rPr>
          <w:lang w:val="fr-CA"/>
        </w:rPr>
        <w:t xml:space="preserve"> des vidéos qui sont </w:t>
      </w:r>
      <w:r w:rsidR="00102562">
        <w:rPr>
          <w:lang w:val="fr-CA"/>
        </w:rPr>
        <w:t>diffusés</w:t>
      </w:r>
      <w:r w:rsidRPr="00A03541">
        <w:rPr>
          <w:lang w:val="fr-CA"/>
        </w:rPr>
        <w:t xml:space="preserve"> sur le site Web du Sénat, sur sa chaîne YouTube et sur d</w:t>
      </w:r>
      <w:r w:rsidR="00F976EE">
        <w:rPr>
          <w:lang w:val="fr-CA"/>
        </w:rPr>
        <w:t>’</w:t>
      </w:r>
      <w:r w:rsidRPr="00A03541">
        <w:rPr>
          <w:lang w:val="fr-CA"/>
        </w:rPr>
        <w:t>autres plateformes de médias sociaux.</w:t>
      </w:r>
      <w:r w:rsidR="555DC814" w:rsidRPr="00020975">
        <w:rPr>
          <w:lang w:val="fr-CA"/>
        </w:rPr>
        <w:t xml:space="preserve"> </w:t>
      </w:r>
    </w:p>
    <w:p w14:paraId="40B76760" w14:textId="299796F0" w:rsidR="00320D02" w:rsidRPr="00020975" w:rsidRDefault="00B0372B" w:rsidP="00C154BD">
      <w:pPr>
        <w:rPr>
          <w:lang w:val="fr-CA"/>
        </w:rPr>
      </w:pPr>
      <w:r w:rsidRPr="00B0372B">
        <w:rPr>
          <w:lang w:val="fr-CA"/>
        </w:rPr>
        <w:lastRenderedPageBreak/>
        <w:t>Les sénateurs et les membres du personnel du Sénat font souvent des présentations. Les présentations peuvent être faites en personne ou à distance. Dans certains cas, le Sénat est l</w:t>
      </w:r>
      <w:r w:rsidR="00F976EE">
        <w:rPr>
          <w:lang w:val="fr-CA"/>
        </w:rPr>
        <w:t>’</w:t>
      </w:r>
      <w:r w:rsidRPr="00B0372B">
        <w:rPr>
          <w:lang w:val="fr-CA"/>
        </w:rPr>
        <w:t>organisateur (ou le co-organisateur) de l</w:t>
      </w:r>
      <w:r w:rsidR="00F976EE">
        <w:rPr>
          <w:lang w:val="fr-CA"/>
        </w:rPr>
        <w:t>’</w:t>
      </w:r>
      <w:r w:rsidRPr="00B0372B">
        <w:rPr>
          <w:lang w:val="fr-CA"/>
        </w:rPr>
        <w:t>événement; dans d</w:t>
      </w:r>
      <w:r w:rsidR="00F976EE">
        <w:rPr>
          <w:lang w:val="fr-CA"/>
        </w:rPr>
        <w:t>’</w:t>
      </w:r>
      <w:r w:rsidRPr="00B0372B">
        <w:rPr>
          <w:lang w:val="fr-CA"/>
        </w:rPr>
        <w:t>autres cas, les présentateurs du Sénat sont invités à un événement organisé par un tiers.</w:t>
      </w:r>
    </w:p>
    <w:p w14:paraId="4973ACD3" w14:textId="3C802748" w:rsidR="00DD1FF6" w:rsidRPr="00A03541" w:rsidRDefault="00A03541" w:rsidP="00911C8D">
      <w:pPr>
        <w:pStyle w:val="Heading3"/>
        <w:rPr>
          <w:lang w:val="fr-CA"/>
        </w:rPr>
      </w:pPr>
      <w:bookmarkStart w:id="28" w:name="_Toc117886762"/>
      <w:r w:rsidRPr="00EA00CF">
        <w:rPr>
          <w:lang w:val="fr-CA"/>
        </w:rPr>
        <w:t>État actuel de l’accessibilité</w:t>
      </w:r>
      <w:bookmarkEnd w:id="28"/>
    </w:p>
    <w:p w14:paraId="10E9F4C5" w14:textId="6246ED79" w:rsidR="00081EA0" w:rsidRPr="00020975" w:rsidRDefault="001C641B" w:rsidP="00C154BD">
      <w:pPr>
        <w:rPr>
          <w:lang w:val="fr-CA"/>
        </w:rPr>
      </w:pPr>
      <w:r w:rsidRPr="001C641B">
        <w:rPr>
          <w:lang w:val="fr-CA"/>
        </w:rPr>
        <w:t>Les publications et les processus de</w:t>
      </w:r>
      <w:r w:rsidR="00761C76">
        <w:rPr>
          <w:lang w:val="fr-CA"/>
        </w:rPr>
        <w:t xml:space="preserve"> la</w:t>
      </w:r>
      <w:r w:rsidRPr="001C641B">
        <w:rPr>
          <w:lang w:val="fr-CA"/>
        </w:rPr>
        <w:t xml:space="preserve"> </w:t>
      </w:r>
      <w:r w:rsidR="00761C76">
        <w:rPr>
          <w:lang w:val="fr-CA"/>
        </w:rPr>
        <w:t>C</w:t>
      </w:r>
      <w:r w:rsidRPr="001C641B">
        <w:rPr>
          <w:lang w:val="fr-CA"/>
        </w:rPr>
        <w:t xml:space="preserve">hambre et des comités peuvent être complexes. Cela peut être particulièrement difficile pour </w:t>
      </w:r>
      <w:r w:rsidR="003908A1" w:rsidRPr="003908A1">
        <w:rPr>
          <w:lang w:val="fr-CA"/>
        </w:rPr>
        <w:t>les personnes avec un handicap cognitif ou intellectuel</w:t>
      </w:r>
      <w:r w:rsidRPr="001C641B">
        <w:rPr>
          <w:lang w:val="fr-CA"/>
        </w:rPr>
        <w:t>.</w:t>
      </w:r>
      <w:r w:rsidR="00DD02A7" w:rsidRPr="00020975">
        <w:rPr>
          <w:lang w:val="fr-CA"/>
        </w:rPr>
        <w:t xml:space="preserve"> </w:t>
      </w:r>
    </w:p>
    <w:p w14:paraId="2094A356" w14:textId="77F8CCC6" w:rsidR="00DD02A7" w:rsidRPr="00020975" w:rsidRDefault="00CC5C1E" w:rsidP="00C154BD">
      <w:pPr>
        <w:rPr>
          <w:lang w:val="fr-CA"/>
        </w:rPr>
      </w:pPr>
      <w:r w:rsidRPr="00CC5C1E">
        <w:rPr>
          <w:lang w:val="fr-CA"/>
        </w:rPr>
        <w:t>Les retransmissions en direct des activités du Sénat sont sous-titrées en direct. Les mots prononcés pendant la diffusion apparaissent sous forme écrite au bas de l</w:t>
      </w:r>
      <w:r w:rsidR="00F976EE">
        <w:rPr>
          <w:lang w:val="fr-CA"/>
        </w:rPr>
        <w:t>’</w:t>
      </w:r>
      <w:r w:rsidRPr="00CC5C1E">
        <w:rPr>
          <w:lang w:val="fr-CA"/>
        </w:rPr>
        <w:t xml:space="preserve">écran. Ces sous-titres codés non révisés sont conservés lorsque les vidéos diffusées en direct sont transformées en vidéos </w:t>
      </w:r>
      <w:r w:rsidR="003908A1">
        <w:rPr>
          <w:lang w:val="fr-CA"/>
        </w:rPr>
        <w:t>sur</w:t>
      </w:r>
      <w:r w:rsidRPr="00CC5C1E">
        <w:rPr>
          <w:lang w:val="fr-CA"/>
        </w:rPr>
        <w:t xml:space="preserve"> demande. Une interprétation en langue des signes peut être fournie sur demande pour certains événements, sous réserve de la disponibilité des ressources.</w:t>
      </w:r>
      <w:r w:rsidR="6FBF5FC6" w:rsidRPr="00020975">
        <w:rPr>
          <w:lang w:val="fr-CA"/>
        </w:rPr>
        <w:t xml:space="preserve"> </w:t>
      </w:r>
    </w:p>
    <w:p w14:paraId="62754F0A" w14:textId="35E3391B" w:rsidR="004851B0" w:rsidRPr="00020975" w:rsidRDefault="00F71F0F" w:rsidP="00C154BD">
      <w:pPr>
        <w:rPr>
          <w:lang w:val="fr-CA"/>
        </w:rPr>
      </w:pPr>
      <w:r w:rsidRPr="00F71F0F">
        <w:rPr>
          <w:lang w:val="fr-CA"/>
        </w:rPr>
        <w:t>Le Sénat dispose d</w:t>
      </w:r>
      <w:r w:rsidR="00F976EE">
        <w:rPr>
          <w:lang w:val="fr-CA"/>
        </w:rPr>
        <w:t>’</w:t>
      </w:r>
      <w:r w:rsidRPr="00F71F0F">
        <w:rPr>
          <w:lang w:val="fr-CA"/>
        </w:rPr>
        <w:t>un modèle PowerPoint accessible pour un usage interne (pas pour les travaux parlementaires). Cependant, il peut y avoir des lacunes concernant son utilisation et la réalisation de présentations accessibles</w:t>
      </w:r>
      <w:r w:rsidR="5734DB54" w:rsidRPr="00020975">
        <w:rPr>
          <w:lang w:val="fr-CA"/>
        </w:rPr>
        <w:t xml:space="preserve">. </w:t>
      </w:r>
    </w:p>
    <w:p w14:paraId="60CD7779" w14:textId="196C99D7" w:rsidR="00DD1FF6" w:rsidRPr="00A03541" w:rsidRDefault="00A03541" w:rsidP="00911C8D">
      <w:pPr>
        <w:pStyle w:val="Heading3"/>
        <w:rPr>
          <w:lang w:val="fr-CA"/>
        </w:rPr>
      </w:pPr>
      <w:bookmarkStart w:id="29" w:name="_Toc117886763"/>
      <w:r w:rsidRPr="00A03541">
        <w:rPr>
          <w:lang w:val="fr-CA"/>
        </w:rPr>
        <w:t>Objectifs en matière d’accessibilité</w:t>
      </w:r>
      <w:bookmarkEnd w:id="29"/>
      <w:r w:rsidR="00DD1FF6" w:rsidRPr="00A03541">
        <w:rPr>
          <w:lang w:val="fr-CA"/>
        </w:rPr>
        <w:t xml:space="preserve"> </w:t>
      </w:r>
    </w:p>
    <w:p w14:paraId="032F6A47" w14:textId="76D352E7" w:rsidR="00AC3293" w:rsidRPr="001F7D21" w:rsidRDefault="00F71F0F" w:rsidP="00911C8D">
      <w:pPr>
        <w:pStyle w:val="Bodynumberedlist"/>
        <w:numPr>
          <w:ilvl w:val="0"/>
          <w:numId w:val="6"/>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2023, le Sénat effectuera une évaluation des nouvelles solutions potentielles pour la communication par transcription simultanée (CART), qui pourraient permettre de visionner les sous-titres des délibérations en direct de n</w:t>
      </w:r>
      <w:r w:rsidR="00F976EE" w:rsidRPr="001F7D21">
        <w:rPr>
          <w:lang w:val="fr-CA"/>
        </w:rPr>
        <w:t>’</w:t>
      </w:r>
      <w:r w:rsidRPr="001F7D21">
        <w:rPr>
          <w:lang w:val="fr-CA"/>
        </w:rPr>
        <w:t>importe où et sur n</w:t>
      </w:r>
      <w:r w:rsidR="00F976EE" w:rsidRPr="001F7D21">
        <w:rPr>
          <w:lang w:val="fr-CA"/>
        </w:rPr>
        <w:t>’</w:t>
      </w:r>
      <w:r w:rsidRPr="001F7D21">
        <w:rPr>
          <w:lang w:val="fr-CA"/>
        </w:rPr>
        <w:t>importe quel appareil.</w:t>
      </w:r>
      <w:r w:rsidR="7EB969F0" w:rsidRPr="001F7D21">
        <w:rPr>
          <w:lang w:val="fr-CA"/>
        </w:rPr>
        <w:t xml:space="preserve"> </w:t>
      </w:r>
    </w:p>
    <w:p w14:paraId="3C180691" w14:textId="1EC3DAA7" w:rsidR="008B2240" w:rsidRPr="001F7D21" w:rsidRDefault="002A17F9" w:rsidP="00911C8D">
      <w:pPr>
        <w:pStyle w:val="Bodynumberedlist"/>
        <w:rPr>
          <w:lang w:val="fr-CA"/>
        </w:rPr>
      </w:pPr>
      <w:bookmarkStart w:id="30" w:name="_Hlk108014143"/>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w:t>
      </w:r>
      <w:r w:rsidR="00851F9D" w:rsidRPr="001F7D21">
        <w:rPr>
          <w:lang w:val="fr-CA"/>
        </w:rPr>
        <w:t>3</w:t>
      </w:r>
      <w:r w:rsidRPr="001F7D21">
        <w:rPr>
          <w:lang w:val="fr-CA"/>
        </w:rPr>
        <w:t>, en collaboration avec ses partenaires parlementaires, le Sénat effectuera une évaluation des ressources nécessaires pour fournir une interprétation en langue des signes pour certains travaux du Sénat et certaines cérémonies officielles.</w:t>
      </w:r>
    </w:p>
    <w:bookmarkEnd w:id="30"/>
    <w:p w14:paraId="1D107D68" w14:textId="3C49FBB4" w:rsidR="00DD1FF6" w:rsidRPr="001F7D21" w:rsidRDefault="00DF5FF7" w:rsidP="00911C8D">
      <w:pPr>
        <w:pStyle w:val="Bodynumberedlist"/>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 xml:space="preserve">2024, le Sénat créera et publiera des explications et des conseils en langage clair sur la façon de lire et de mieux comprendre certains documents de </w:t>
      </w:r>
      <w:r w:rsidRPr="001F7D21">
        <w:rPr>
          <w:lang w:val="fr-CA"/>
        </w:rPr>
        <w:lastRenderedPageBreak/>
        <w:t>la Chambre et des comités. Ces documents d</w:t>
      </w:r>
      <w:r w:rsidR="00F976EE" w:rsidRPr="001F7D21">
        <w:rPr>
          <w:lang w:val="fr-CA"/>
        </w:rPr>
        <w:t>’</w:t>
      </w:r>
      <w:r w:rsidRPr="001F7D21">
        <w:rPr>
          <w:lang w:val="fr-CA"/>
        </w:rPr>
        <w:t>orientation indiqueront aux lecteurs comment naviguer dans ces documents et souligneront où ils peuvent trouver des éléments d</w:t>
      </w:r>
      <w:r w:rsidR="00F976EE" w:rsidRPr="001F7D21">
        <w:rPr>
          <w:lang w:val="fr-CA"/>
        </w:rPr>
        <w:t>’</w:t>
      </w:r>
      <w:r w:rsidRPr="001F7D21">
        <w:rPr>
          <w:lang w:val="fr-CA"/>
        </w:rPr>
        <w:t>information importants.</w:t>
      </w:r>
      <w:r w:rsidR="2301039F" w:rsidRPr="001F7D21">
        <w:rPr>
          <w:lang w:val="fr-CA"/>
        </w:rPr>
        <w:t xml:space="preserve"> </w:t>
      </w:r>
    </w:p>
    <w:p w14:paraId="6D5F5192" w14:textId="199256A3" w:rsidR="00FE1FF4" w:rsidRPr="001F7D21" w:rsidRDefault="00F867F8" w:rsidP="00911C8D">
      <w:pPr>
        <w:pStyle w:val="Bodynumberedlist"/>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2024, le Sénat élaborera une trousse d</w:t>
      </w:r>
      <w:r w:rsidR="00F976EE" w:rsidRPr="001F7D21">
        <w:rPr>
          <w:lang w:val="fr-CA"/>
        </w:rPr>
        <w:t>’</w:t>
      </w:r>
      <w:r w:rsidRPr="001F7D21">
        <w:rPr>
          <w:lang w:val="fr-CA"/>
        </w:rPr>
        <w:t>outils pour demander un sous-titrage en direct ou une interprétation en langue des signes.</w:t>
      </w:r>
    </w:p>
    <w:p w14:paraId="52A30399" w14:textId="34B4BBB6" w:rsidR="00C217C5" w:rsidRPr="001F7D21" w:rsidRDefault="00D7129B" w:rsidP="00911C8D">
      <w:pPr>
        <w:pStyle w:val="Bodynumberedlist"/>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2024, le Sénat intégrera une formation sur la façon de donner des présentations accessibles dans sa formation plus large de sensibilisation à l</w:t>
      </w:r>
      <w:r w:rsidR="00F976EE" w:rsidRPr="001F7D21">
        <w:rPr>
          <w:lang w:val="fr-CA"/>
        </w:rPr>
        <w:t>’</w:t>
      </w:r>
      <w:r w:rsidRPr="001F7D21">
        <w:rPr>
          <w:lang w:val="fr-CA"/>
        </w:rPr>
        <w:t>accessibilité qui sera déployée dans toute l</w:t>
      </w:r>
      <w:r w:rsidR="00F976EE" w:rsidRPr="001F7D21">
        <w:rPr>
          <w:lang w:val="fr-CA"/>
        </w:rPr>
        <w:t>’</w:t>
      </w:r>
      <w:r w:rsidRPr="001F7D21">
        <w:rPr>
          <w:lang w:val="fr-CA"/>
        </w:rPr>
        <w:t>organisation (voir la section</w:t>
      </w:r>
      <w:r w:rsidR="00BE74F0" w:rsidRPr="001F7D21">
        <w:rPr>
          <w:lang w:val="fr-CA"/>
        </w:rPr>
        <w:t> </w:t>
      </w:r>
      <w:r w:rsidR="002C59F7">
        <w:rPr>
          <w:lang w:val="fr-CA"/>
        </w:rPr>
        <w:t>3</w:t>
      </w:r>
      <w:r w:rsidRPr="001F7D21">
        <w:rPr>
          <w:lang w:val="fr-CA"/>
        </w:rPr>
        <w:t>.8</w:t>
      </w:r>
      <w:r w:rsidR="00AD23E1" w:rsidRPr="001F7D21">
        <w:rPr>
          <w:lang w:val="fr-CA"/>
        </w:rPr>
        <w:t xml:space="preserve"> –</w:t>
      </w:r>
      <w:r w:rsidRPr="001F7D21">
        <w:rPr>
          <w:lang w:val="fr-CA"/>
        </w:rPr>
        <w:t xml:space="preserve"> Initiatives à l</w:t>
      </w:r>
      <w:r w:rsidR="00F976EE" w:rsidRPr="001F7D21">
        <w:rPr>
          <w:lang w:val="fr-CA"/>
        </w:rPr>
        <w:t>’</w:t>
      </w:r>
      <w:r w:rsidRPr="001F7D21">
        <w:rPr>
          <w:lang w:val="fr-CA"/>
        </w:rPr>
        <w:t>échelle de l</w:t>
      </w:r>
      <w:r w:rsidR="00F976EE" w:rsidRPr="001F7D21">
        <w:rPr>
          <w:lang w:val="fr-CA"/>
        </w:rPr>
        <w:t>’</w:t>
      </w:r>
      <w:r w:rsidRPr="001F7D21">
        <w:rPr>
          <w:lang w:val="fr-CA"/>
        </w:rPr>
        <w:t>organisation).</w:t>
      </w:r>
      <w:r w:rsidR="6D56261C" w:rsidRPr="001F7D21">
        <w:rPr>
          <w:lang w:val="fr-CA"/>
        </w:rPr>
        <w:t xml:space="preserve"> </w:t>
      </w:r>
    </w:p>
    <w:p w14:paraId="4B7B2A93" w14:textId="447F8BE9" w:rsidR="00187D79" w:rsidRPr="00020975" w:rsidRDefault="00A24358" w:rsidP="00911C8D">
      <w:pPr>
        <w:pStyle w:val="Heading2"/>
        <w:rPr>
          <w:lang w:val="fr-CA"/>
        </w:rPr>
      </w:pPr>
      <w:bookmarkStart w:id="31" w:name="_Toc117886764"/>
      <w:r w:rsidRPr="0062532A">
        <w:rPr>
          <w:lang w:val="fr-CA"/>
        </w:rPr>
        <w:t>Acquisition de biens, de services et d’installations</w:t>
      </w:r>
      <w:bookmarkEnd w:id="31"/>
      <w:r w:rsidR="00187D79" w:rsidRPr="00020975">
        <w:rPr>
          <w:lang w:val="fr-CA"/>
        </w:rPr>
        <w:t xml:space="preserve"> </w:t>
      </w:r>
    </w:p>
    <w:p w14:paraId="1E1423D1" w14:textId="38056290" w:rsidR="00FB129F" w:rsidRPr="00A03541" w:rsidRDefault="00A03541" w:rsidP="00911C8D">
      <w:pPr>
        <w:pStyle w:val="Heading3"/>
        <w:rPr>
          <w:lang w:val="fr-CA"/>
        </w:rPr>
      </w:pPr>
      <w:bookmarkStart w:id="32" w:name="_Toc117886765"/>
      <w:r>
        <w:rPr>
          <w:lang w:val="fr-CA"/>
        </w:rPr>
        <w:t>Aperçu</w:t>
      </w:r>
      <w:bookmarkEnd w:id="32"/>
    </w:p>
    <w:p w14:paraId="19CE9CF0" w14:textId="1D44BA28" w:rsidR="008E1BE6" w:rsidRPr="0062532A" w:rsidRDefault="0062532A" w:rsidP="00C154BD">
      <w:pPr>
        <w:rPr>
          <w:lang w:val="fr-CA"/>
        </w:rPr>
      </w:pPr>
      <w:r w:rsidRPr="0062532A">
        <w:rPr>
          <w:lang w:val="fr-CA"/>
        </w:rPr>
        <w:t>Par acquisition on entend l</w:t>
      </w:r>
      <w:r w:rsidR="00F976EE">
        <w:rPr>
          <w:lang w:val="fr-CA"/>
        </w:rPr>
        <w:t>’</w:t>
      </w:r>
      <w:r w:rsidRPr="0062532A">
        <w:rPr>
          <w:lang w:val="fr-CA"/>
        </w:rPr>
        <w:t xml:space="preserve">achat de biens et de services conformément à la </w:t>
      </w:r>
      <w:r w:rsidR="00AD23E1" w:rsidRPr="00B15D25">
        <w:rPr>
          <w:i/>
          <w:iCs/>
          <w:lang w:val="fr-CA"/>
        </w:rPr>
        <w:t>P</w:t>
      </w:r>
      <w:r w:rsidRPr="00B15D25">
        <w:rPr>
          <w:i/>
          <w:iCs/>
          <w:lang w:val="fr-CA"/>
        </w:rPr>
        <w:t>olitique sur l’approvisionnement</w:t>
      </w:r>
      <w:r w:rsidRPr="0062532A">
        <w:rPr>
          <w:lang w:val="fr-CA"/>
        </w:rPr>
        <w:t xml:space="preserve"> du Sénat</w:t>
      </w:r>
      <w:r w:rsidR="4B7BE8DC" w:rsidRPr="0062532A">
        <w:rPr>
          <w:lang w:val="fr-CA"/>
        </w:rPr>
        <w:t>.</w:t>
      </w:r>
    </w:p>
    <w:p w14:paraId="087B96A7" w14:textId="3B97A4AF" w:rsidR="008E1BE6" w:rsidRPr="00A03541" w:rsidRDefault="00A03541" w:rsidP="00911C8D">
      <w:pPr>
        <w:pStyle w:val="Heading3"/>
        <w:rPr>
          <w:sz w:val="24"/>
          <w:szCs w:val="24"/>
          <w:lang w:val="fr-CA"/>
        </w:rPr>
      </w:pPr>
      <w:bookmarkStart w:id="33" w:name="_Toc117886766"/>
      <w:r w:rsidRPr="00A03541">
        <w:rPr>
          <w:lang w:val="fr-CA"/>
        </w:rPr>
        <w:t>État actuel de l’accessibilité</w:t>
      </w:r>
      <w:bookmarkEnd w:id="33"/>
      <w:r w:rsidR="008E1BE6" w:rsidRPr="00A03541">
        <w:rPr>
          <w:lang w:val="fr-CA"/>
        </w:rPr>
        <w:t xml:space="preserve"> </w:t>
      </w:r>
    </w:p>
    <w:p w14:paraId="0CC3EB92" w14:textId="4A30A038" w:rsidR="005D6D32" w:rsidRPr="00020975" w:rsidRDefault="0062532A" w:rsidP="00C154BD">
      <w:pPr>
        <w:rPr>
          <w:lang w:val="fr-CA"/>
        </w:rPr>
      </w:pPr>
      <w:r w:rsidRPr="0062532A">
        <w:rPr>
          <w:lang w:val="fr-CA"/>
        </w:rPr>
        <w:t xml:space="preserve">La </w:t>
      </w:r>
      <w:r w:rsidR="00AD23E1">
        <w:rPr>
          <w:i/>
          <w:iCs/>
          <w:lang w:val="fr-CA"/>
        </w:rPr>
        <w:t>P</w:t>
      </w:r>
      <w:r w:rsidRPr="00B15D25">
        <w:rPr>
          <w:i/>
          <w:iCs/>
          <w:lang w:val="fr-CA"/>
        </w:rPr>
        <w:t>olitique sur l’approvisionnement</w:t>
      </w:r>
      <w:r w:rsidRPr="0062532A">
        <w:rPr>
          <w:lang w:val="fr-CA"/>
        </w:rPr>
        <w:t xml:space="preserve"> en vigueur mentionne des objectifs sociaux, dont l</w:t>
      </w:r>
      <w:r w:rsidR="00F976EE">
        <w:rPr>
          <w:lang w:val="fr-CA"/>
        </w:rPr>
        <w:t>’</w:t>
      </w:r>
      <w:r w:rsidRPr="0062532A">
        <w:rPr>
          <w:lang w:val="fr-CA"/>
        </w:rPr>
        <w:t>un est l</w:t>
      </w:r>
      <w:r w:rsidR="00F976EE">
        <w:rPr>
          <w:lang w:val="fr-CA"/>
        </w:rPr>
        <w:t>’</w:t>
      </w:r>
      <w:r w:rsidRPr="0062532A">
        <w:rPr>
          <w:lang w:val="fr-CA"/>
        </w:rPr>
        <w:t>obligation d</w:t>
      </w:r>
      <w:r w:rsidR="00F976EE">
        <w:rPr>
          <w:lang w:val="fr-CA"/>
        </w:rPr>
        <w:t>’</w:t>
      </w:r>
      <w:r w:rsidRPr="0062532A">
        <w:rPr>
          <w:lang w:val="fr-CA"/>
        </w:rPr>
        <w:t>inclure, dans la mesure du possible, di</w:t>
      </w:r>
      <w:r>
        <w:rPr>
          <w:lang w:val="fr-CA"/>
        </w:rPr>
        <w:t>fférents</w:t>
      </w:r>
      <w:r w:rsidRPr="0062532A">
        <w:rPr>
          <w:lang w:val="fr-CA"/>
        </w:rPr>
        <w:t xml:space="preserve"> fournisseurs dans les activités et processus d</w:t>
      </w:r>
      <w:r w:rsidR="00F976EE">
        <w:rPr>
          <w:lang w:val="fr-CA"/>
        </w:rPr>
        <w:t>’</w:t>
      </w:r>
      <w:r w:rsidRPr="0062532A">
        <w:rPr>
          <w:lang w:val="fr-CA"/>
        </w:rPr>
        <w:t>a</w:t>
      </w:r>
      <w:r>
        <w:rPr>
          <w:lang w:val="fr-CA"/>
        </w:rPr>
        <w:t>pprovisionnement</w:t>
      </w:r>
      <w:r w:rsidRPr="0062532A">
        <w:rPr>
          <w:lang w:val="fr-CA"/>
        </w:rPr>
        <w:t xml:space="preserve"> du Sénat. Lorsque le Sénat achète des biens et des services liés à des sites Web et à des outils en ligne, il </w:t>
      </w:r>
      <w:r w:rsidR="00E11777">
        <w:rPr>
          <w:lang w:val="fr-CA"/>
        </w:rPr>
        <w:t>inclut dans ses demandes un libellé sur</w:t>
      </w:r>
      <w:r w:rsidRPr="0062532A">
        <w:rPr>
          <w:lang w:val="fr-CA"/>
        </w:rPr>
        <w:t xml:space="preserve"> les exigences WCAG</w:t>
      </w:r>
      <w:r w:rsidR="00BE74F0">
        <w:rPr>
          <w:lang w:val="fr-CA"/>
        </w:rPr>
        <w:t> </w:t>
      </w:r>
      <w:r w:rsidRPr="0062532A">
        <w:rPr>
          <w:lang w:val="fr-CA"/>
        </w:rPr>
        <w:t xml:space="preserve">2.1 AA. Pour les autres biens et services que le Sénat </w:t>
      </w:r>
      <w:r>
        <w:rPr>
          <w:lang w:val="fr-CA"/>
        </w:rPr>
        <w:t>acquiert par processus</w:t>
      </w:r>
      <w:r w:rsidRPr="0062532A">
        <w:rPr>
          <w:lang w:val="fr-CA"/>
        </w:rPr>
        <w:t xml:space="preserve"> concurrentiel, les soumissionnaires sont invités à décrire leurs pratiques d</w:t>
      </w:r>
      <w:r w:rsidR="00F976EE">
        <w:rPr>
          <w:lang w:val="fr-CA"/>
        </w:rPr>
        <w:t>’</w:t>
      </w:r>
      <w:r w:rsidRPr="0062532A">
        <w:rPr>
          <w:lang w:val="fr-CA"/>
        </w:rPr>
        <w:t>accessibilité dans leurs offres.</w:t>
      </w:r>
      <w:r w:rsidR="00D81AF9" w:rsidRPr="00020975">
        <w:rPr>
          <w:lang w:val="fr-CA"/>
        </w:rPr>
        <w:t xml:space="preserve"> </w:t>
      </w:r>
    </w:p>
    <w:p w14:paraId="22D90F15" w14:textId="10507151" w:rsidR="00656B9D" w:rsidRPr="00A03541" w:rsidRDefault="00A03541" w:rsidP="00911C8D">
      <w:pPr>
        <w:pStyle w:val="Heading3"/>
        <w:rPr>
          <w:lang w:val="fr-CA"/>
        </w:rPr>
      </w:pPr>
      <w:bookmarkStart w:id="34" w:name="_Toc117886767"/>
      <w:r>
        <w:rPr>
          <w:lang w:val="fr-CA"/>
        </w:rPr>
        <w:t>Objectifs en matière d’accessibilité</w:t>
      </w:r>
      <w:bookmarkEnd w:id="34"/>
    </w:p>
    <w:p w14:paraId="78FEA559" w14:textId="3D974124" w:rsidR="4B7BE8DC" w:rsidRPr="001F7D21" w:rsidRDefault="00160F54" w:rsidP="00911C8D">
      <w:pPr>
        <w:pStyle w:val="Bodynumberedlist"/>
        <w:numPr>
          <w:ilvl w:val="0"/>
          <w:numId w:val="7"/>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2023, le Sénat disposera d</w:t>
      </w:r>
      <w:r w:rsidR="00F976EE" w:rsidRPr="001F7D21">
        <w:rPr>
          <w:lang w:val="fr-CA"/>
        </w:rPr>
        <w:t>’</w:t>
      </w:r>
      <w:r w:rsidRPr="001F7D21">
        <w:rPr>
          <w:lang w:val="fr-CA"/>
        </w:rPr>
        <w:t>une liste de contrôle permettant aux clients de s</w:t>
      </w:r>
      <w:r w:rsidR="00F976EE" w:rsidRPr="001F7D21">
        <w:rPr>
          <w:lang w:val="fr-CA"/>
        </w:rPr>
        <w:t>’</w:t>
      </w:r>
      <w:r w:rsidRPr="001F7D21">
        <w:rPr>
          <w:lang w:val="fr-CA"/>
        </w:rPr>
        <w:t>assurer que l</w:t>
      </w:r>
      <w:r w:rsidR="00F976EE" w:rsidRPr="001F7D21">
        <w:rPr>
          <w:lang w:val="fr-CA"/>
        </w:rPr>
        <w:t>’</w:t>
      </w:r>
      <w:r w:rsidRPr="001F7D21">
        <w:rPr>
          <w:lang w:val="fr-CA"/>
        </w:rPr>
        <w:t>accessibilité est prise en compte lors de l</w:t>
      </w:r>
      <w:r w:rsidR="00F976EE" w:rsidRPr="001F7D21">
        <w:rPr>
          <w:lang w:val="fr-CA"/>
        </w:rPr>
        <w:t>’</w:t>
      </w:r>
      <w:r w:rsidRPr="001F7D21">
        <w:rPr>
          <w:lang w:val="fr-CA"/>
        </w:rPr>
        <w:t>élaboration de leurs besoins. Les employés de la Direction des finances et de l</w:t>
      </w:r>
      <w:r w:rsidR="00F976EE" w:rsidRPr="001F7D21">
        <w:rPr>
          <w:lang w:val="fr-CA"/>
        </w:rPr>
        <w:t>’</w:t>
      </w:r>
      <w:r w:rsidRPr="001F7D21">
        <w:rPr>
          <w:lang w:val="fr-CA"/>
        </w:rPr>
        <w:t>approvisionnement se tiendront informés de toute norme d</w:t>
      </w:r>
      <w:r w:rsidR="00F976EE" w:rsidRPr="001F7D21">
        <w:rPr>
          <w:lang w:val="fr-CA"/>
        </w:rPr>
        <w:t>’</w:t>
      </w:r>
      <w:r w:rsidRPr="001F7D21">
        <w:rPr>
          <w:lang w:val="fr-CA"/>
        </w:rPr>
        <w:t>accessibilité future afin d</w:t>
      </w:r>
      <w:r w:rsidR="00F976EE" w:rsidRPr="001F7D21">
        <w:rPr>
          <w:lang w:val="fr-CA"/>
        </w:rPr>
        <w:t>’</w:t>
      </w:r>
      <w:r w:rsidRPr="001F7D21">
        <w:rPr>
          <w:lang w:val="fr-CA"/>
        </w:rPr>
        <w:t xml:space="preserve">assurer la </w:t>
      </w:r>
      <w:r w:rsidRPr="001F7D21">
        <w:rPr>
          <w:lang w:val="fr-CA"/>
        </w:rPr>
        <w:lastRenderedPageBreak/>
        <w:t>conformité aux exigences en matière d</w:t>
      </w:r>
      <w:r w:rsidR="00F976EE" w:rsidRPr="001F7D21">
        <w:rPr>
          <w:lang w:val="fr-CA"/>
        </w:rPr>
        <w:t>’</w:t>
      </w:r>
      <w:r w:rsidRPr="001F7D21">
        <w:rPr>
          <w:lang w:val="fr-CA"/>
        </w:rPr>
        <w:t>accessibilité et aux pratiques exemplaires applicables.</w:t>
      </w:r>
    </w:p>
    <w:p w14:paraId="387550C1" w14:textId="297BEFAC" w:rsidR="00A754E9" w:rsidRPr="00020975" w:rsidRDefault="006874C9" w:rsidP="00911C8D">
      <w:pPr>
        <w:pStyle w:val="Heading2"/>
        <w:rPr>
          <w:lang w:val="fr-CA"/>
        </w:rPr>
      </w:pPr>
      <w:bookmarkStart w:id="35" w:name="_Toc117886768"/>
      <w:r w:rsidRPr="006874C9">
        <w:rPr>
          <w:lang w:val="fr-CA"/>
        </w:rPr>
        <w:t xml:space="preserve">Conception et </w:t>
      </w:r>
      <w:r w:rsidR="00AA2378">
        <w:rPr>
          <w:lang w:val="fr-CA"/>
        </w:rPr>
        <w:t>prestation</w:t>
      </w:r>
      <w:r w:rsidRPr="006874C9">
        <w:rPr>
          <w:lang w:val="fr-CA"/>
        </w:rPr>
        <w:t xml:space="preserve"> de programmes et services</w:t>
      </w:r>
      <w:bookmarkEnd w:id="35"/>
      <w:r w:rsidR="007D0586" w:rsidRPr="00020975">
        <w:rPr>
          <w:lang w:val="fr-CA"/>
        </w:rPr>
        <w:t xml:space="preserve"> </w:t>
      </w:r>
    </w:p>
    <w:p w14:paraId="1731E8F5" w14:textId="0A0118BE" w:rsidR="00DD1FF6" w:rsidRPr="00A03541" w:rsidRDefault="00A03541" w:rsidP="00911C8D">
      <w:pPr>
        <w:pStyle w:val="Heading3"/>
        <w:rPr>
          <w:lang w:val="fr-CA"/>
        </w:rPr>
      </w:pPr>
      <w:bookmarkStart w:id="36" w:name="_Toc117886769"/>
      <w:r w:rsidRPr="00A03541">
        <w:rPr>
          <w:lang w:val="fr-CA"/>
        </w:rPr>
        <w:t>Aperçu</w:t>
      </w:r>
      <w:bookmarkEnd w:id="36"/>
      <w:r w:rsidR="527CCAC1" w:rsidRPr="00A03541">
        <w:rPr>
          <w:lang w:val="fr-CA"/>
        </w:rPr>
        <w:t xml:space="preserve"> </w:t>
      </w:r>
    </w:p>
    <w:p w14:paraId="3032FFE9" w14:textId="2911B715" w:rsidR="00DD1FF6" w:rsidRPr="00020975" w:rsidRDefault="006874C9" w:rsidP="00C154BD">
      <w:pPr>
        <w:rPr>
          <w:lang w:val="fr-CA"/>
        </w:rPr>
      </w:pPr>
      <w:r w:rsidRPr="006874C9">
        <w:rPr>
          <w:lang w:val="fr-CA"/>
        </w:rPr>
        <w:t>Le Sénat organise des débats, des réunions de comités et divers autres événements. Il existe six types d</w:t>
      </w:r>
      <w:r w:rsidR="00F976EE">
        <w:rPr>
          <w:lang w:val="fr-CA"/>
        </w:rPr>
        <w:t>’</w:t>
      </w:r>
      <w:r w:rsidRPr="006874C9">
        <w:rPr>
          <w:lang w:val="fr-CA"/>
        </w:rPr>
        <w:t>événements publics différents, chacun ayant ses propres exigences en matière d</w:t>
      </w:r>
      <w:r w:rsidR="00F976EE">
        <w:rPr>
          <w:lang w:val="fr-CA"/>
        </w:rPr>
        <w:t>’</w:t>
      </w:r>
      <w:r w:rsidRPr="006874C9">
        <w:rPr>
          <w:lang w:val="fr-CA"/>
        </w:rPr>
        <w:t>accessibilité</w:t>
      </w:r>
      <w:r w:rsidR="00BE74F0">
        <w:rPr>
          <w:lang w:val="fr-CA"/>
        </w:rPr>
        <w:t> </w:t>
      </w:r>
      <w:r w:rsidR="59ADF556" w:rsidRPr="00020975">
        <w:rPr>
          <w:lang w:val="fr-CA"/>
        </w:rPr>
        <w:t>:</w:t>
      </w:r>
    </w:p>
    <w:p w14:paraId="69C0F4FC" w14:textId="16231B77" w:rsidR="62CFD9C8" w:rsidRPr="00C154BD" w:rsidRDefault="0A54615F" w:rsidP="00911C8D">
      <w:pPr>
        <w:pStyle w:val="Bodynumberedlist"/>
        <w:numPr>
          <w:ilvl w:val="0"/>
          <w:numId w:val="8"/>
        </w:numPr>
      </w:pPr>
      <w:r w:rsidRPr="00C154BD">
        <w:t>S</w:t>
      </w:r>
      <w:r w:rsidR="006874C9" w:rsidRPr="00C154BD">
        <w:t xml:space="preserve">éances du </w:t>
      </w:r>
      <w:r w:rsidR="0045262F" w:rsidRPr="00C154BD">
        <w:t>Sénat</w:t>
      </w:r>
    </w:p>
    <w:p w14:paraId="2ED587ED" w14:textId="380715D1" w:rsidR="62CFD9C8" w:rsidRPr="00C154BD" w:rsidRDefault="004B4C95" w:rsidP="00911C8D">
      <w:pPr>
        <w:pStyle w:val="Bodynumberedlist"/>
        <w:numPr>
          <w:ilvl w:val="0"/>
          <w:numId w:val="8"/>
        </w:numPr>
      </w:pPr>
      <w:proofErr w:type="spellStart"/>
      <w:r w:rsidRPr="00C154BD">
        <w:t>Réunions</w:t>
      </w:r>
      <w:proofErr w:type="spellEnd"/>
      <w:r w:rsidRPr="00C154BD">
        <w:t xml:space="preserve"> de </w:t>
      </w:r>
      <w:proofErr w:type="spellStart"/>
      <w:r w:rsidRPr="00C154BD">
        <w:t>comité</w:t>
      </w:r>
      <w:proofErr w:type="spellEnd"/>
    </w:p>
    <w:p w14:paraId="2F905B32" w14:textId="6F0049F5" w:rsidR="00DD1FF6" w:rsidRPr="001F7D21" w:rsidRDefault="02BBECC4" w:rsidP="00911C8D">
      <w:pPr>
        <w:pStyle w:val="Bodynumberedlist"/>
        <w:numPr>
          <w:ilvl w:val="0"/>
          <w:numId w:val="8"/>
        </w:numPr>
        <w:rPr>
          <w:lang w:val="fr-CA"/>
        </w:rPr>
      </w:pPr>
      <w:r w:rsidRPr="001F7D21">
        <w:rPr>
          <w:lang w:val="fr-CA"/>
        </w:rPr>
        <w:t>C</w:t>
      </w:r>
      <w:r w:rsidR="004B4C95" w:rsidRPr="001F7D21">
        <w:rPr>
          <w:lang w:val="fr-CA"/>
        </w:rPr>
        <w:t>érémonies ou activités protocolaires organisées par le Sénat dans ses locaux</w:t>
      </w:r>
      <w:r w:rsidRPr="001F7D21">
        <w:rPr>
          <w:lang w:val="fr-CA"/>
        </w:rPr>
        <w:t xml:space="preserve"> </w:t>
      </w:r>
    </w:p>
    <w:p w14:paraId="500766ED" w14:textId="3A64BB79" w:rsidR="00DD1FF6" w:rsidRPr="001F7D21" w:rsidRDefault="004B4C95" w:rsidP="00911C8D">
      <w:pPr>
        <w:pStyle w:val="Bodynumberedlist"/>
        <w:numPr>
          <w:ilvl w:val="0"/>
          <w:numId w:val="8"/>
        </w:numPr>
        <w:rPr>
          <w:lang w:val="fr-CA"/>
        </w:rPr>
      </w:pPr>
      <w:r w:rsidRPr="001F7D21">
        <w:rPr>
          <w:lang w:val="fr-CA"/>
        </w:rPr>
        <w:t>Événements publics organisés par le Sénat dans ses locaux</w:t>
      </w:r>
    </w:p>
    <w:p w14:paraId="4704832A" w14:textId="686AB931" w:rsidR="00DD1FF6" w:rsidRPr="001F7D21" w:rsidRDefault="004B4C95" w:rsidP="00911C8D">
      <w:pPr>
        <w:pStyle w:val="Bodynumberedlist"/>
        <w:numPr>
          <w:ilvl w:val="0"/>
          <w:numId w:val="8"/>
        </w:numPr>
        <w:rPr>
          <w:lang w:val="fr-CA"/>
        </w:rPr>
      </w:pPr>
      <w:r w:rsidRPr="001F7D21">
        <w:rPr>
          <w:lang w:val="fr-CA"/>
        </w:rPr>
        <w:t>Événements publics organisés par le Sénat dans un autre endroit</w:t>
      </w:r>
      <w:r w:rsidR="02BBECC4" w:rsidRPr="001F7D21">
        <w:rPr>
          <w:lang w:val="fr-CA"/>
        </w:rPr>
        <w:t xml:space="preserve"> (</w:t>
      </w:r>
      <w:r w:rsidRPr="001F7D21">
        <w:rPr>
          <w:lang w:val="fr-CA"/>
        </w:rPr>
        <w:t>p. ex, dans un hôtel ou dans un centre de conférences</w:t>
      </w:r>
      <w:r w:rsidR="02BBECC4" w:rsidRPr="001F7D21">
        <w:rPr>
          <w:lang w:val="fr-CA"/>
        </w:rPr>
        <w:t>)</w:t>
      </w:r>
    </w:p>
    <w:p w14:paraId="57644577" w14:textId="02DCD65C" w:rsidR="00DD1FF6" w:rsidRPr="001F7D21" w:rsidRDefault="004B4C95" w:rsidP="00911C8D">
      <w:pPr>
        <w:pStyle w:val="Bodynumberedlist"/>
        <w:numPr>
          <w:ilvl w:val="0"/>
          <w:numId w:val="8"/>
        </w:numPr>
        <w:rPr>
          <w:lang w:val="fr-CA"/>
        </w:rPr>
      </w:pPr>
      <w:r w:rsidRPr="001F7D21">
        <w:rPr>
          <w:lang w:val="fr-CA"/>
        </w:rPr>
        <w:t>Événements publics organisés par une tierce partie dans ses locaux</w:t>
      </w:r>
      <w:r w:rsidR="00D81AF9" w:rsidRPr="001F7D21">
        <w:rPr>
          <w:lang w:val="fr-CA"/>
        </w:rPr>
        <w:t xml:space="preserve">, </w:t>
      </w:r>
      <w:r w:rsidRPr="001F7D21">
        <w:rPr>
          <w:lang w:val="fr-CA"/>
        </w:rPr>
        <w:t>avec la participation du Sénat</w:t>
      </w:r>
      <w:r w:rsidR="59ADF556" w:rsidRPr="001F7D21">
        <w:rPr>
          <w:lang w:val="fr-CA"/>
        </w:rPr>
        <w:t xml:space="preserve"> </w:t>
      </w:r>
      <w:r w:rsidRPr="001F7D21">
        <w:rPr>
          <w:lang w:val="fr-CA"/>
        </w:rPr>
        <w:t>(p. ex, pour le programme SENgage lorsqu’un sénateur visite une école</w:t>
      </w:r>
      <w:r w:rsidR="001B78BE" w:rsidRPr="001F7D21">
        <w:rPr>
          <w:lang w:val="fr-CA"/>
        </w:rPr>
        <w:t>,</w:t>
      </w:r>
      <w:r w:rsidRPr="001F7D21">
        <w:rPr>
          <w:lang w:val="fr-CA"/>
        </w:rPr>
        <w:t xml:space="preserve"> ou un salon de l’emploi où le Sénat </w:t>
      </w:r>
      <w:r w:rsidR="001F577A" w:rsidRPr="001F7D21">
        <w:rPr>
          <w:lang w:val="fr-CA"/>
        </w:rPr>
        <w:t>dispose d’un kiosque</w:t>
      </w:r>
      <w:r w:rsidR="59ADF556" w:rsidRPr="001F7D21">
        <w:rPr>
          <w:lang w:val="fr-CA"/>
        </w:rPr>
        <w:t>).</w:t>
      </w:r>
    </w:p>
    <w:p w14:paraId="27359209" w14:textId="017B49C0" w:rsidR="00DD1FF6" w:rsidRPr="00A03541" w:rsidRDefault="00A03541" w:rsidP="00911C8D">
      <w:pPr>
        <w:pStyle w:val="Heading3"/>
        <w:rPr>
          <w:lang w:val="fr-CA"/>
        </w:rPr>
      </w:pPr>
      <w:bookmarkStart w:id="37" w:name="_Toc117886770"/>
      <w:r w:rsidRPr="00A03541">
        <w:rPr>
          <w:lang w:val="fr-CA"/>
        </w:rPr>
        <w:t>État actuel de l’accessibilité</w:t>
      </w:r>
      <w:bookmarkEnd w:id="37"/>
      <w:r w:rsidR="00DD1FF6" w:rsidRPr="00A03541">
        <w:rPr>
          <w:lang w:val="fr-CA"/>
        </w:rPr>
        <w:t xml:space="preserve"> </w:t>
      </w:r>
    </w:p>
    <w:p w14:paraId="5D97D40C" w14:textId="6D183C52" w:rsidR="009F1333" w:rsidRPr="00020975" w:rsidRDefault="00EC0CD0" w:rsidP="00C154BD">
      <w:pPr>
        <w:rPr>
          <w:lang w:val="fr-CA"/>
        </w:rPr>
      </w:pPr>
      <w:r w:rsidRPr="00EC0CD0">
        <w:rPr>
          <w:lang w:val="fr-CA"/>
        </w:rPr>
        <w:t xml:space="preserve">Les consultations avec les personnes </w:t>
      </w:r>
      <w:r>
        <w:rPr>
          <w:lang w:val="fr-CA"/>
        </w:rPr>
        <w:t>en situation de handicap</w:t>
      </w:r>
      <w:r w:rsidRPr="00EC0CD0">
        <w:rPr>
          <w:lang w:val="fr-CA"/>
        </w:rPr>
        <w:t xml:space="preserve"> ont permis d</w:t>
      </w:r>
      <w:r w:rsidR="00C00E9A">
        <w:rPr>
          <w:lang w:val="fr-CA"/>
        </w:rPr>
        <w:t>’</w:t>
      </w:r>
      <w:r w:rsidRPr="00EC0CD0">
        <w:rPr>
          <w:lang w:val="fr-CA"/>
        </w:rPr>
        <w:t>identifier des obstacles potentiels à la participation aux procédures parlementaires du Sénat, notamment les suivants</w:t>
      </w:r>
      <w:r>
        <w:rPr>
          <w:lang w:val="fr-CA"/>
        </w:rPr>
        <w:t xml:space="preserve"> </w:t>
      </w:r>
      <w:r w:rsidR="009F1333" w:rsidRPr="00020975">
        <w:rPr>
          <w:lang w:val="fr-CA"/>
        </w:rPr>
        <w:t xml:space="preserve">: </w:t>
      </w:r>
    </w:p>
    <w:p w14:paraId="65CB0170" w14:textId="05C10736" w:rsidR="009F1333" w:rsidRPr="001F7D21" w:rsidRDefault="008713BF" w:rsidP="00911C8D">
      <w:pPr>
        <w:pStyle w:val="Bodybullets"/>
        <w:rPr>
          <w:lang w:val="fr-CA"/>
        </w:rPr>
      </w:pPr>
      <w:r w:rsidRPr="001F7D21">
        <w:rPr>
          <w:lang w:val="fr-CA"/>
        </w:rPr>
        <w:t xml:space="preserve">Si le délai accordé pour participer aux consultations ou pour faire part de ses commentaires est court, il peut empêcher la pleine participation de certaines </w:t>
      </w:r>
      <w:r w:rsidR="0031675D" w:rsidRPr="001F7D21">
        <w:rPr>
          <w:lang w:val="fr-CA"/>
        </w:rPr>
        <w:t xml:space="preserve">personnes </w:t>
      </w:r>
      <w:r w:rsidR="00AD6B7C" w:rsidRPr="001F7D21">
        <w:rPr>
          <w:lang w:val="fr-CA"/>
        </w:rPr>
        <w:t>en situation de handicap</w:t>
      </w:r>
      <w:r w:rsidR="00172422" w:rsidRPr="001F7D21">
        <w:rPr>
          <w:lang w:val="fr-CA"/>
        </w:rPr>
        <w:t xml:space="preserve"> </w:t>
      </w:r>
      <w:r w:rsidRPr="001F7D21">
        <w:rPr>
          <w:lang w:val="fr-CA"/>
        </w:rPr>
        <w:t>qui peuvent avoir besoin de plus de temps pour traiter ou générer des informations.</w:t>
      </w:r>
      <w:r w:rsidR="009F1333" w:rsidRPr="001F7D21">
        <w:rPr>
          <w:lang w:val="fr-CA"/>
        </w:rPr>
        <w:t xml:space="preserve"> </w:t>
      </w:r>
    </w:p>
    <w:p w14:paraId="38031FBF" w14:textId="55CEF8C5" w:rsidR="009F1333" w:rsidRPr="001F7D21" w:rsidRDefault="009B70E8" w:rsidP="00911C8D">
      <w:pPr>
        <w:pStyle w:val="Bodybullets"/>
        <w:rPr>
          <w:lang w:val="fr-CA"/>
        </w:rPr>
      </w:pPr>
      <w:r w:rsidRPr="001F7D21">
        <w:rPr>
          <w:lang w:val="fr-CA"/>
        </w:rPr>
        <w:lastRenderedPageBreak/>
        <w:t>Les règles qui régissent le processus et le calendrier des audiences et des réunions peuvent entra</w:t>
      </w:r>
      <w:r w:rsidR="001B78BE" w:rsidRPr="001F7D21">
        <w:rPr>
          <w:lang w:val="fr-CA"/>
        </w:rPr>
        <w:t>i</w:t>
      </w:r>
      <w:r w:rsidRPr="001F7D21">
        <w:rPr>
          <w:lang w:val="fr-CA"/>
        </w:rPr>
        <w:t>ner certains obstacles. Le temps de parole accordé est un obstacle pour les personnes qui mettent plus de temps à communiquer.</w:t>
      </w:r>
      <w:r w:rsidR="009F1333" w:rsidRPr="001F7D21">
        <w:rPr>
          <w:lang w:val="fr-CA"/>
        </w:rPr>
        <w:t xml:space="preserve"> </w:t>
      </w:r>
    </w:p>
    <w:p w14:paraId="4F1D244E" w14:textId="254D01EA" w:rsidR="009F1333" w:rsidRPr="001F7D21" w:rsidRDefault="001B08B4" w:rsidP="00911C8D">
      <w:pPr>
        <w:pStyle w:val="Bodybullets"/>
        <w:rPr>
          <w:lang w:val="fr-CA"/>
        </w:rPr>
      </w:pPr>
      <w:r w:rsidRPr="001F7D21">
        <w:rPr>
          <w:lang w:val="fr-CA"/>
        </w:rPr>
        <w:t>Dans l</w:t>
      </w:r>
      <w:r w:rsidR="00F976EE" w:rsidRPr="001F7D21">
        <w:rPr>
          <w:lang w:val="fr-CA"/>
        </w:rPr>
        <w:t>’</w:t>
      </w:r>
      <w:r w:rsidRPr="001F7D21">
        <w:rPr>
          <w:lang w:val="fr-CA"/>
        </w:rPr>
        <w:t>ensemble, les processus du Sénat sont complexes. Les gens peuvent ne pas comprendre comment soumettre des commentaires au Sénat concernant certaines initiatives. Ils peuvent ne pas comprendre ce qui se passe pendant les audiences et les réunions en raison de la complexité et des traditions des processus du Sénat. De nombreux Canadiens</w:t>
      </w:r>
      <w:r w:rsidR="006D590C" w:rsidRPr="001F7D21">
        <w:rPr>
          <w:lang w:val="fr-CA"/>
        </w:rPr>
        <w:t xml:space="preserve"> éprouvent probablement ces difficultés</w:t>
      </w:r>
      <w:r w:rsidRPr="001F7D21">
        <w:rPr>
          <w:lang w:val="fr-CA"/>
        </w:rPr>
        <w:t xml:space="preserve">, et </w:t>
      </w:r>
      <w:r w:rsidR="006D590C" w:rsidRPr="001F7D21">
        <w:rPr>
          <w:lang w:val="fr-CA"/>
        </w:rPr>
        <w:t>les</w:t>
      </w:r>
      <w:r w:rsidRPr="001F7D21">
        <w:rPr>
          <w:lang w:val="fr-CA"/>
        </w:rPr>
        <w:t xml:space="preserve"> obstacles </w:t>
      </w:r>
      <w:r w:rsidR="006D590C" w:rsidRPr="001F7D21">
        <w:rPr>
          <w:lang w:val="fr-CA"/>
        </w:rPr>
        <w:t xml:space="preserve">peuvent être encore plus nombreux </w:t>
      </w:r>
      <w:r w:rsidRPr="001F7D21">
        <w:rPr>
          <w:lang w:val="fr-CA"/>
        </w:rPr>
        <w:t>pour les personnes ayant un</w:t>
      </w:r>
      <w:r w:rsidR="00B271DD" w:rsidRPr="001F7D21">
        <w:rPr>
          <w:lang w:val="fr-CA"/>
        </w:rPr>
        <w:t xml:space="preserve"> handicap</w:t>
      </w:r>
      <w:r w:rsidRPr="001F7D21">
        <w:rPr>
          <w:lang w:val="fr-CA"/>
        </w:rPr>
        <w:t xml:space="preserve"> cogniti</w:t>
      </w:r>
      <w:r w:rsidR="00B271DD" w:rsidRPr="001F7D21">
        <w:rPr>
          <w:lang w:val="fr-CA"/>
        </w:rPr>
        <w:t>f</w:t>
      </w:r>
      <w:r w:rsidRPr="001F7D21">
        <w:rPr>
          <w:lang w:val="fr-CA"/>
        </w:rPr>
        <w:t xml:space="preserve"> ou intellectuel.</w:t>
      </w:r>
      <w:r w:rsidR="7BF24B2D" w:rsidRPr="001F7D21">
        <w:rPr>
          <w:lang w:val="fr-CA"/>
        </w:rPr>
        <w:t xml:space="preserve"> </w:t>
      </w:r>
    </w:p>
    <w:p w14:paraId="3299CF44" w14:textId="40A0664C" w:rsidR="00D05E31" w:rsidRPr="00020975" w:rsidRDefault="00EC22FD" w:rsidP="00C154BD">
      <w:pPr>
        <w:rPr>
          <w:lang w:val="fr-CA"/>
        </w:rPr>
      </w:pPr>
      <w:r w:rsidRPr="00EC22FD">
        <w:rPr>
          <w:lang w:val="fr-CA"/>
        </w:rPr>
        <w:t>Le Sénat fait tout son possible pour rendre accessibles les événements qu</w:t>
      </w:r>
      <w:r w:rsidR="00F976EE">
        <w:rPr>
          <w:lang w:val="fr-CA"/>
        </w:rPr>
        <w:t>’</w:t>
      </w:r>
      <w:r w:rsidRPr="00EC22FD">
        <w:rPr>
          <w:lang w:val="fr-CA"/>
        </w:rPr>
        <w:t xml:space="preserve">il organise. </w:t>
      </w:r>
      <w:r w:rsidR="00EC0CD0" w:rsidRPr="00EC0CD0">
        <w:rPr>
          <w:lang w:val="fr-CA"/>
        </w:rPr>
        <w:t>En outre, des mesures sont prises pour s</w:t>
      </w:r>
      <w:r w:rsidR="003B6F48">
        <w:rPr>
          <w:lang w:val="fr-CA"/>
        </w:rPr>
        <w:t>’</w:t>
      </w:r>
      <w:r w:rsidR="00EC0CD0" w:rsidRPr="00EC0CD0">
        <w:rPr>
          <w:lang w:val="fr-CA"/>
        </w:rPr>
        <w:t xml:space="preserve">assurer que les événements organisés </w:t>
      </w:r>
      <w:r w:rsidRPr="00EC22FD">
        <w:rPr>
          <w:lang w:val="fr-CA"/>
        </w:rPr>
        <w:t>à l</w:t>
      </w:r>
      <w:r w:rsidR="00F976EE">
        <w:rPr>
          <w:lang w:val="fr-CA"/>
        </w:rPr>
        <w:t>’</w:t>
      </w:r>
      <w:r w:rsidRPr="00EC22FD">
        <w:rPr>
          <w:lang w:val="fr-CA"/>
        </w:rPr>
        <w:t>extérieur des locaux du Sénat se déroulent dans des espaces accessibles</w:t>
      </w:r>
      <w:r w:rsidR="00EC0CD0" w:rsidRPr="00EC0CD0">
        <w:rPr>
          <w:lang w:val="fr-CA"/>
        </w:rPr>
        <w:t xml:space="preserve"> et qu</w:t>
      </w:r>
      <w:r w:rsidR="003B6F48">
        <w:rPr>
          <w:lang w:val="fr-CA"/>
        </w:rPr>
        <w:t>’</w:t>
      </w:r>
      <w:r w:rsidR="00EC0CD0" w:rsidRPr="00EC0CD0">
        <w:rPr>
          <w:lang w:val="fr-CA"/>
        </w:rPr>
        <w:t>une visite préalable à l</w:t>
      </w:r>
      <w:r w:rsidR="003B6F48">
        <w:rPr>
          <w:lang w:val="fr-CA"/>
        </w:rPr>
        <w:t>’</w:t>
      </w:r>
      <w:r w:rsidR="00EC0CD0" w:rsidRPr="00EC0CD0">
        <w:rPr>
          <w:lang w:val="fr-CA"/>
        </w:rPr>
        <w:t>événement soit effectuée pour identifier tout obstacle potentiel à l</w:t>
      </w:r>
      <w:r w:rsidR="003B6F48">
        <w:rPr>
          <w:lang w:val="fr-CA"/>
        </w:rPr>
        <w:t>’</w:t>
      </w:r>
      <w:r w:rsidR="00EC0CD0" w:rsidRPr="00EC0CD0">
        <w:rPr>
          <w:lang w:val="fr-CA"/>
        </w:rPr>
        <w:t>accessibilité</w:t>
      </w:r>
      <w:r w:rsidRPr="00EC22FD">
        <w:rPr>
          <w:lang w:val="fr-CA"/>
        </w:rPr>
        <w:t xml:space="preserve">. </w:t>
      </w:r>
      <w:r w:rsidR="00EC0CD0">
        <w:rPr>
          <w:lang w:val="fr-CA"/>
        </w:rPr>
        <w:t>L</w:t>
      </w:r>
      <w:r w:rsidRPr="00EC22FD">
        <w:rPr>
          <w:lang w:val="fr-CA"/>
        </w:rPr>
        <w:t xml:space="preserve">es témoins qui comparaissent devant les comités </w:t>
      </w:r>
      <w:r w:rsidR="00EC0CD0">
        <w:rPr>
          <w:lang w:val="fr-CA"/>
        </w:rPr>
        <w:t xml:space="preserve">ont été accommodés </w:t>
      </w:r>
      <w:r w:rsidRPr="00EC22FD">
        <w:rPr>
          <w:lang w:val="fr-CA"/>
        </w:rPr>
        <w:t xml:space="preserve">de diverses façons, notamment en </w:t>
      </w:r>
      <w:r>
        <w:rPr>
          <w:lang w:val="fr-CA"/>
        </w:rPr>
        <w:t>autorisant</w:t>
      </w:r>
      <w:r w:rsidRPr="00EC22FD">
        <w:rPr>
          <w:lang w:val="fr-CA"/>
        </w:rPr>
        <w:t xml:space="preserve"> les témoignages préenregistrés ou en accordant un temps de parole supplémentaire.</w:t>
      </w:r>
    </w:p>
    <w:p w14:paraId="449323CB" w14:textId="648141EE" w:rsidR="00D05E31" w:rsidRPr="00020975" w:rsidRDefault="00EC0CD0" w:rsidP="00C154BD">
      <w:pPr>
        <w:rPr>
          <w:lang w:val="fr-CA"/>
        </w:rPr>
      </w:pPr>
      <w:r w:rsidRPr="00EC0CD0">
        <w:rPr>
          <w:lang w:val="fr-CA"/>
        </w:rPr>
        <w:t>Bien que tout soit mis en œuvre pour répondre aux besoins des participants ayant des exigences particulières, ces services ne sont pas systématiquement annoncés et les participants ne sont pas spécifiquement invités à faire part de leurs besoins en matière d</w:t>
      </w:r>
      <w:r w:rsidR="00C00E9A">
        <w:rPr>
          <w:lang w:val="fr-CA"/>
        </w:rPr>
        <w:t>’</w:t>
      </w:r>
      <w:r w:rsidRPr="00EC0CD0">
        <w:rPr>
          <w:lang w:val="fr-CA"/>
        </w:rPr>
        <w:t>accessibilité</w:t>
      </w:r>
      <w:r w:rsidR="00CA1E6F" w:rsidRPr="00CA1E6F">
        <w:rPr>
          <w:lang w:val="fr-CA"/>
        </w:rPr>
        <w:t xml:space="preserve">. </w:t>
      </w:r>
      <w:r w:rsidR="00CA1E6F">
        <w:rPr>
          <w:lang w:val="fr-CA"/>
        </w:rPr>
        <w:t xml:space="preserve">Pour avoir une approche cohérente, il faudrait disposer de </w:t>
      </w:r>
      <w:r w:rsidR="00CA1E6F" w:rsidRPr="00CA1E6F">
        <w:rPr>
          <w:lang w:val="fr-CA"/>
        </w:rPr>
        <w:t>lignes directrices sur la manière dont les services d</w:t>
      </w:r>
      <w:r w:rsidR="00F976EE">
        <w:rPr>
          <w:lang w:val="fr-CA"/>
        </w:rPr>
        <w:t>’</w:t>
      </w:r>
      <w:r w:rsidR="00CA1E6F" w:rsidRPr="00CA1E6F">
        <w:rPr>
          <w:lang w:val="fr-CA"/>
        </w:rPr>
        <w:t>accessibilité doivent être proposés et fournis lors de tout événemen</w:t>
      </w:r>
      <w:r w:rsidR="00CA1E6F">
        <w:rPr>
          <w:lang w:val="fr-CA"/>
        </w:rPr>
        <w:t>t</w:t>
      </w:r>
      <w:r w:rsidR="00CA1E6F" w:rsidRPr="00CA1E6F">
        <w:rPr>
          <w:lang w:val="fr-CA"/>
        </w:rPr>
        <w:t>.</w:t>
      </w:r>
    </w:p>
    <w:p w14:paraId="0CBA737B" w14:textId="0503C77F" w:rsidR="00D05E31" w:rsidRPr="00A03541" w:rsidRDefault="00A03541" w:rsidP="00911C8D">
      <w:pPr>
        <w:pStyle w:val="Heading3"/>
        <w:rPr>
          <w:lang w:val="fr-CA"/>
        </w:rPr>
      </w:pPr>
      <w:bookmarkStart w:id="38" w:name="_Toc117886771"/>
      <w:r w:rsidRPr="00A03541">
        <w:rPr>
          <w:lang w:val="fr-CA"/>
        </w:rPr>
        <w:t>Objectifs en matière d’accessibilité</w:t>
      </w:r>
      <w:bookmarkEnd w:id="38"/>
      <w:r w:rsidR="0095718F" w:rsidRPr="00A03541">
        <w:rPr>
          <w:lang w:val="fr-CA"/>
        </w:rPr>
        <w:t xml:space="preserve"> </w:t>
      </w:r>
    </w:p>
    <w:p w14:paraId="73396968" w14:textId="3162DB34" w:rsidR="00C15A7B" w:rsidRPr="00C154BD" w:rsidRDefault="00DD3551" w:rsidP="00911C8D">
      <w:pPr>
        <w:pStyle w:val="Bodynumberedlist"/>
        <w:numPr>
          <w:ilvl w:val="0"/>
          <w:numId w:val="9"/>
        </w:numPr>
        <w:rPr>
          <w:rFonts w:eastAsiaTheme="minorEastAsia"/>
          <w:lang w:val="fr-CA"/>
        </w:rPr>
      </w:pPr>
      <w:r w:rsidRPr="00C154BD">
        <w:rPr>
          <w:lang w:val="fr-CA"/>
        </w:rPr>
        <w:t>D</w:t>
      </w:r>
      <w:r w:rsidR="00F976EE" w:rsidRPr="00C154BD">
        <w:rPr>
          <w:lang w:val="fr-CA"/>
        </w:rPr>
        <w:t>’</w:t>
      </w:r>
      <w:r w:rsidRPr="00C154BD">
        <w:rPr>
          <w:lang w:val="fr-CA"/>
        </w:rPr>
        <w:t>ici fin</w:t>
      </w:r>
      <w:r w:rsidR="00BE74F0" w:rsidRPr="00C154BD">
        <w:rPr>
          <w:lang w:val="fr-CA"/>
        </w:rPr>
        <w:t> </w:t>
      </w:r>
      <w:r w:rsidRPr="00C154BD">
        <w:rPr>
          <w:lang w:val="fr-CA"/>
        </w:rPr>
        <w:t>2023, le Sénat élaborera des lignes directrices sur la façon dont les services d</w:t>
      </w:r>
      <w:r w:rsidR="00F976EE" w:rsidRPr="00C154BD">
        <w:rPr>
          <w:lang w:val="fr-CA"/>
        </w:rPr>
        <w:t>’</w:t>
      </w:r>
      <w:r w:rsidRPr="00C154BD">
        <w:rPr>
          <w:lang w:val="fr-CA"/>
        </w:rPr>
        <w:t xml:space="preserve">accessibilité peuvent être offerts et fournis aux membres du public </w:t>
      </w:r>
      <w:r w:rsidR="00AD6B7C" w:rsidRPr="00C154BD">
        <w:rPr>
          <w:lang w:val="fr-CA"/>
        </w:rPr>
        <w:t>en situation de handicap</w:t>
      </w:r>
      <w:r w:rsidRPr="00C154BD">
        <w:rPr>
          <w:lang w:val="fr-CA"/>
        </w:rPr>
        <w:t xml:space="preserve"> qui participent aux activités du Sénat.</w:t>
      </w:r>
      <w:r w:rsidR="155B90C3" w:rsidRPr="00C154BD">
        <w:rPr>
          <w:lang w:val="fr-CA"/>
        </w:rPr>
        <w:t xml:space="preserve"> </w:t>
      </w:r>
      <w:r w:rsidR="00B271DD" w:rsidRPr="00C154BD">
        <w:rPr>
          <w:lang w:val="fr-CA"/>
        </w:rPr>
        <w:t xml:space="preserve">Ces lignes directrices serviront aussi lors de la </w:t>
      </w:r>
      <w:r w:rsidR="00974CAC" w:rsidRPr="00C154BD">
        <w:rPr>
          <w:lang w:val="fr-CA"/>
        </w:rPr>
        <w:t>planification et l</w:t>
      </w:r>
      <w:r w:rsidR="00F976EE" w:rsidRPr="00C154BD">
        <w:rPr>
          <w:lang w:val="fr-CA"/>
        </w:rPr>
        <w:t>’</w:t>
      </w:r>
      <w:r w:rsidR="00974CAC" w:rsidRPr="00C154BD">
        <w:rPr>
          <w:lang w:val="fr-CA"/>
        </w:rPr>
        <w:t>organisation d</w:t>
      </w:r>
      <w:r w:rsidR="00F976EE" w:rsidRPr="00C154BD">
        <w:rPr>
          <w:lang w:val="fr-CA"/>
        </w:rPr>
        <w:t>’</w:t>
      </w:r>
      <w:r w:rsidR="00974CAC" w:rsidRPr="00C154BD">
        <w:rPr>
          <w:lang w:val="fr-CA"/>
        </w:rPr>
        <w:t>événements.</w:t>
      </w:r>
    </w:p>
    <w:p w14:paraId="7646968C" w14:textId="72C3BF9A" w:rsidR="00C15A7B" w:rsidRPr="00020975" w:rsidRDefault="00C178B4" w:rsidP="00911C8D">
      <w:pPr>
        <w:pStyle w:val="Bodynumberedlist"/>
        <w:rPr>
          <w:rFonts w:eastAsiaTheme="minorEastAsia"/>
          <w:lang w:val="fr-CA"/>
        </w:rPr>
      </w:pPr>
      <w:r w:rsidRPr="00C178B4">
        <w:rPr>
          <w:lang w:val="fr-CA"/>
        </w:rPr>
        <w:lastRenderedPageBreak/>
        <w:t>D</w:t>
      </w:r>
      <w:r w:rsidR="00F976EE">
        <w:rPr>
          <w:lang w:val="fr-CA"/>
        </w:rPr>
        <w:t>’</w:t>
      </w:r>
      <w:r w:rsidRPr="00C178B4">
        <w:rPr>
          <w:lang w:val="fr-CA"/>
        </w:rPr>
        <w:t>ici fin</w:t>
      </w:r>
      <w:r w:rsidR="00BE74F0">
        <w:rPr>
          <w:lang w:val="fr-CA"/>
        </w:rPr>
        <w:t> </w:t>
      </w:r>
      <w:r w:rsidRPr="00C178B4">
        <w:rPr>
          <w:lang w:val="fr-CA"/>
        </w:rPr>
        <w:t xml:space="preserve">2024, le Sénat veillera à ce que tout le personnel existant chargé des événements ait reçu une formation pour savoir comment offrir et fournir une assistance aux participants </w:t>
      </w:r>
      <w:r w:rsidR="00AD6B7C">
        <w:rPr>
          <w:lang w:val="fr-CA"/>
        </w:rPr>
        <w:t>en situation de handicap</w:t>
      </w:r>
      <w:r w:rsidRPr="00C178B4">
        <w:rPr>
          <w:lang w:val="fr-CA"/>
        </w:rPr>
        <w:t>. Nous veillerons également à ce que cette formation fasse partie du processus d</w:t>
      </w:r>
      <w:r w:rsidR="00F976EE">
        <w:rPr>
          <w:lang w:val="fr-CA"/>
        </w:rPr>
        <w:t>’</w:t>
      </w:r>
      <w:r w:rsidRPr="00C178B4">
        <w:rPr>
          <w:lang w:val="fr-CA"/>
        </w:rPr>
        <w:t>accueil standard de tout nouvel employé de l</w:t>
      </w:r>
      <w:r w:rsidR="00F976EE">
        <w:rPr>
          <w:lang w:val="fr-CA"/>
        </w:rPr>
        <w:t>’</w:t>
      </w:r>
      <w:r w:rsidRPr="00C178B4">
        <w:rPr>
          <w:lang w:val="fr-CA"/>
        </w:rPr>
        <w:t>administration du Sénat chargé de planifier ou d</w:t>
      </w:r>
      <w:r w:rsidR="00F976EE">
        <w:rPr>
          <w:lang w:val="fr-CA"/>
        </w:rPr>
        <w:t>’</w:t>
      </w:r>
      <w:r w:rsidRPr="00C178B4">
        <w:rPr>
          <w:lang w:val="fr-CA"/>
        </w:rPr>
        <w:t>organiser des événements.</w:t>
      </w:r>
    </w:p>
    <w:p w14:paraId="45E0B0B0" w14:textId="703795D6" w:rsidR="00C15A7B" w:rsidRPr="00020975" w:rsidRDefault="00F26026" w:rsidP="00911C8D">
      <w:pPr>
        <w:pStyle w:val="Bodynumberedlist"/>
        <w:rPr>
          <w:rFonts w:eastAsiaTheme="minorEastAsia"/>
          <w:lang w:val="fr-CA"/>
        </w:rPr>
      </w:pPr>
      <w:r w:rsidRPr="00F26026">
        <w:rPr>
          <w:lang w:val="fr-CA"/>
        </w:rPr>
        <w:t>D</w:t>
      </w:r>
      <w:r w:rsidR="00F976EE">
        <w:rPr>
          <w:lang w:val="fr-CA"/>
        </w:rPr>
        <w:t>’</w:t>
      </w:r>
      <w:r w:rsidRPr="00F26026">
        <w:rPr>
          <w:lang w:val="fr-CA"/>
        </w:rPr>
        <w:t>ici fin</w:t>
      </w:r>
      <w:r w:rsidR="00BE74F0">
        <w:rPr>
          <w:lang w:val="fr-CA"/>
        </w:rPr>
        <w:t> </w:t>
      </w:r>
      <w:r w:rsidRPr="00F26026">
        <w:rPr>
          <w:lang w:val="fr-CA"/>
        </w:rPr>
        <w:t>2025, une formation sur la façon de présider ou d</w:t>
      </w:r>
      <w:r w:rsidR="00F976EE">
        <w:rPr>
          <w:lang w:val="fr-CA"/>
        </w:rPr>
        <w:t>’</w:t>
      </w:r>
      <w:r w:rsidRPr="00F26026">
        <w:rPr>
          <w:lang w:val="fr-CA"/>
        </w:rPr>
        <w:t>animer des réunions accessibles sera élaborée et mise en œuvre dans l</w:t>
      </w:r>
      <w:r w:rsidR="00F976EE">
        <w:rPr>
          <w:lang w:val="fr-CA"/>
        </w:rPr>
        <w:t>’</w:t>
      </w:r>
      <w:r w:rsidRPr="00F26026">
        <w:rPr>
          <w:lang w:val="fr-CA"/>
        </w:rPr>
        <w:t>ensemble de l</w:t>
      </w:r>
      <w:r w:rsidR="00F976EE">
        <w:rPr>
          <w:lang w:val="fr-CA"/>
        </w:rPr>
        <w:t>’</w:t>
      </w:r>
      <w:r w:rsidRPr="00F26026">
        <w:rPr>
          <w:lang w:val="fr-CA"/>
        </w:rPr>
        <w:t xml:space="preserve">organisation. Cette formation sera offerte aux sénateurs, aux membres du personnel et à toute autre personne qui dirige ou préside régulièrement des réunions au Sénat. Elle </w:t>
      </w:r>
      <w:r>
        <w:rPr>
          <w:lang w:val="fr-CA"/>
        </w:rPr>
        <w:t>visera à</w:t>
      </w:r>
      <w:r w:rsidRPr="00F26026">
        <w:rPr>
          <w:lang w:val="fr-CA"/>
        </w:rPr>
        <w:t xml:space="preserve"> s</w:t>
      </w:r>
      <w:r w:rsidR="00F976EE">
        <w:rPr>
          <w:lang w:val="fr-CA"/>
        </w:rPr>
        <w:t>’</w:t>
      </w:r>
      <w:r w:rsidRPr="00F26026">
        <w:rPr>
          <w:lang w:val="fr-CA"/>
        </w:rPr>
        <w:t xml:space="preserve">assurer que les réunions sont accessibles à tous et </w:t>
      </w:r>
      <w:r>
        <w:rPr>
          <w:lang w:val="fr-CA"/>
        </w:rPr>
        <w:t>à</w:t>
      </w:r>
      <w:r w:rsidRPr="00F26026">
        <w:rPr>
          <w:lang w:val="fr-CA"/>
        </w:rPr>
        <w:t xml:space="preserve"> dé</w:t>
      </w:r>
      <w:r>
        <w:rPr>
          <w:lang w:val="fr-CA"/>
        </w:rPr>
        <w:t>finir</w:t>
      </w:r>
      <w:r w:rsidRPr="00F26026">
        <w:rPr>
          <w:lang w:val="fr-CA"/>
        </w:rPr>
        <w:t xml:space="preserve"> les services d</w:t>
      </w:r>
      <w:r w:rsidR="00F976EE">
        <w:rPr>
          <w:lang w:val="fr-CA"/>
        </w:rPr>
        <w:t>’</w:t>
      </w:r>
      <w:r w:rsidRPr="00F26026">
        <w:rPr>
          <w:lang w:val="fr-CA"/>
        </w:rPr>
        <w:t xml:space="preserve">accessibilité appropriés pour les participants </w:t>
      </w:r>
      <w:r w:rsidR="00AD6B7C">
        <w:rPr>
          <w:lang w:val="fr-CA"/>
        </w:rPr>
        <w:t>en situation de handicap</w:t>
      </w:r>
      <w:r w:rsidRPr="00F26026">
        <w:rPr>
          <w:lang w:val="fr-CA"/>
        </w:rPr>
        <w:t>.</w:t>
      </w:r>
      <w:r w:rsidR="644B72FB" w:rsidRPr="00020975">
        <w:rPr>
          <w:lang w:val="fr-CA"/>
        </w:rPr>
        <w:t xml:space="preserve"> </w:t>
      </w:r>
    </w:p>
    <w:p w14:paraId="4167004D" w14:textId="45C4BC0C" w:rsidR="00400194" w:rsidRPr="00F26026" w:rsidRDefault="00F26026" w:rsidP="00911C8D">
      <w:pPr>
        <w:pStyle w:val="Bodynumberedlist"/>
        <w:rPr>
          <w:lang w:val="fr-CA"/>
        </w:rPr>
      </w:pPr>
      <w:r w:rsidRPr="00F26026">
        <w:rPr>
          <w:lang w:val="fr-CA"/>
        </w:rPr>
        <w:t>D</w:t>
      </w:r>
      <w:r w:rsidR="00F976EE">
        <w:rPr>
          <w:lang w:val="fr-CA"/>
        </w:rPr>
        <w:t>’</w:t>
      </w:r>
      <w:r w:rsidRPr="00F26026">
        <w:rPr>
          <w:lang w:val="fr-CA"/>
        </w:rPr>
        <w:t>ici fin</w:t>
      </w:r>
      <w:r w:rsidR="00BE74F0">
        <w:rPr>
          <w:lang w:val="fr-CA"/>
        </w:rPr>
        <w:t> </w:t>
      </w:r>
      <w:r w:rsidRPr="00F26026">
        <w:rPr>
          <w:lang w:val="fr-CA"/>
        </w:rPr>
        <w:t>2025, le Sénat effectuera une évaluation des processus parlementaires afin de</w:t>
      </w:r>
      <w:r>
        <w:rPr>
          <w:lang w:val="fr-CA"/>
        </w:rPr>
        <w:t xml:space="preserve"> trouver s’il existe</w:t>
      </w:r>
      <w:r w:rsidRPr="00F26026">
        <w:rPr>
          <w:lang w:val="fr-CA"/>
        </w:rPr>
        <w:t xml:space="preserve"> d</w:t>
      </w:r>
      <w:r w:rsidR="00F976EE">
        <w:rPr>
          <w:lang w:val="fr-CA"/>
        </w:rPr>
        <w:t>’</w:t>
      </w:r>
      <w:r w:rsidRPr="00F26026">
        <w:rPr>
          <w:lang w:val="fr-CA"/>
        </w:rPr>
        <w:t xml:space="preserve">autres obstacles potentiels pour les </w:t>
      </w:r>
      <w:r w:rsidR="0031675D">
        <w:rPr>
          <w:lang w:val="fr-CA"/>
        </w:rPr>
        <w:t xml:space="preserve">personnes </w:t>
      </w:r>
      <w:r w:rsidR="00AD6B7C">
        <w:rPr>
          <w:lang w:val="fr-CA"/>
        </w:rPr>
        <w:t>en situation de handicap</w:t>
      </w:r>
      <w:r w:rsidRPr="00F26026">
        <w:rPr>
          <w:lang w:val="fr-CA"/>
        </w:rPr>
        <w:t>.</w:t>
      </w:r>
    </w:p>
    <w:p w14:paraId="0A3CA946" w14:textId="3F06A6EC" w:rsidR="007D0586" w:rsidRPr="00020975" w:rsidRDefault="4154D93F" w:rsidP="00911C8D">
      <w:pPr>
        <w:pStyle w:val="Heading2"/>
        <w:rPr>
          <w:lang w:val="fr-CA"/>
        </w:rPr>
      </w:pPr>
      <w:r w:rsidRPr="00F26026">
        <w:rPr>
          <w:lang w:val="fr-CA"/>
        </w:rPr>
        <w:t xml:space="preserve"> </w:t>
      </w:r>
      <w:bookmarkStart w:id="39" w:name="_Toc117886772"/>
      <w:r w:rsidR="007D0586" w:rsidRPr="00020975">
        <w:rPr>
          <w:lang w:val="fr-CA"/>
        </w:rPr>
        <w:t>Transport</w:t>
      </w:r>
      <w:r w:rsidR="00A24358">
        <w:rPr>
          <w:lang w:val="fr-CA"/>
        </w:rPr>
        <w:t>s</w:t>
      </w:r>
      <w:bookmarkEnd w:id="39"/>
      <w:r w:rsidR="007D0586" w:rsidRPr="00020975">
        <w:rPr>
          <w:lang w:val="fr-CA"/>
        </w:rPr>
        <w:t xml:space="preserve"> </w:t>
      </w:r>
    </w:p>
    <w:p w14:paraId="5ADDB8AE" w14:textId="443B1FAC" w:rsidR="00E55B4C" w:rsidRPr="00A03541" w:rsidRDefault="00A03541" w:rsidP="00911C8D">
      <w:pPr>
        <w:pStyle w:val="Heading3"/>
        <w:rPr>
          <w:lang w:val="fr-CA"/>
        </w:rPr>
      </w:pPr>
      <w:bookmarkStart w:id="40" w:name="_Toc117886773"/>
      <w:r>
        <w:rPr>
          <w:lang w:val="fr-CA"/>
        </w:rPr>
        <w:t>Aperçu</w:t>
      </w:r>
      <w:bookmarkEnd w:id="40"/>
    </w:p>
    <w:p w14:paraId="328F7979" w14:textId="76591DEC" w:rsidR="00BC642B" w:rsidRDefault="00F91D78" w:rsidP="00C154BD">
      <w:pPr>
        <w:rPr>
          <w:lang w:val="fr-CA"/>
        </w:rPr>
      </w:pPr>
      <w:r w:rsidRPr="00F91D78">
        <w:rPr>
          <w:lang w:val="fr-CA"/>
        </w:rPr>
        <w:t>Le Sénat exploite un service de navette qui transporte les gens entre les divers édifices de la Colline du Parlement et des environs. Quatre autobus sont utilisés dans le cadre de ce service, et ils suivent des itinéraires prédéfinis avec des arrêts désignés</w:t>
      </w:r>
      <w:r w:rsidR="32321893" w:rsidRPr="00020975">
        <w:rPr>
          <w:lang w:val="fr-CA"/>
        </w:rPr>
        <w:t xml:space="preserve">. </w:t>
      </w:r>
    </w:p>
    <w:p w14:paraId="53DDEEF4" w14:textId="72C5875A" w:rsidR="006801CC" w:rsidRPr="00020975" w:rsidRDefault="00F7443D" w:rsidP="00C154BD">
      <w:pPr>
        <w:rPr>
          <w:lang w:val="fr-CA"/>
        </w:rPr>
      </w:pPr>
      <w:r>
        <w:rPr>
          <w:lang w:val="fr-CA"/>
        </w:rPr>
        <w:t xml:space="preserve">Le </w:t>
      </w:r>
      <w:r w:rsidR="006801CC" w:rsidRPr="006801CC">
        <w:rPr>
          <w:lang w:val="fr-CA"/>
        </w:rPr>
        <w:t>nombre de places de stationnement disponible</w:t>
      </w:r>
      <w:r>
        <w:rPr>
          <w:lang w:val="fr-CA"/>
        </w:rPr>
        <w:t>s</w:t>
      </w:r>
      <w:r w:rsidR="006801CC" w:rsidRPr="006801CC">
        <w:rPr>
          <w:lang w:val="fr-CA"/>
        </w:rPr>
        <w:t xml:space="preserve"> pour les sénateurs et les membres du personnel du Sénat à proximité des bâtiments du Sénat</w:t>
      </w:r>
      <w:r>
        <w:rPr>
          <w:lang w:val="fr-CA"/>
        </w:rPr>
        <w:t xml:space="preserve"> est limité</w:t>
      </w:r>
      <w:r w:rsidR="006801CC" w:rsidRPr="006801CC">
        <w:rPr>
          <w:lang w:val="fr-CA"/>
        </w:rPr>
        <w:t>. Les permis de stationnement sont attribués et gérés par le Sénat.</w:t>
      </w:r>
    </w:p>
    <w:p w14:paraId="48356D87" w14:textId="68C20B16" w:rsidR="004B3D00" w:rsidRPr="00A03541" w:rsidRDefault="00A03541" w:rsidP="00911C8D">
      <w:pPr>
        <w:pStyle w:val="Heading3"/>
        <w:rPr>
          <w:lang w:val="fr-CA"/>
        </w:rPr>
      </w:pPr>
      <w:bookmarkStart w:id="41" w:name="_Toc117886774"/>
      <w:r w:rsidRPr="00A03541">
        <w:rPr>
          <w:lang w:val="fr-CA"/>
        </w:rPr>
        <w:t>État actuel de l’accessibilité</w:t>
      </w:r>
      <w:bookmarkEnd w:id="41"/>
      <w:r w:rsidR="004B3D00" w:rsidRPr="00A03541">
        <w:rPr>
          <w:lang w:val="fr-CA"/>
        </w:rPr>
        <w:t xml:space="preserve"> </w:t>
      </w:r>
    </w:p>
    <w:p w14:paraId="105BD408" w14:textId="2F2A05AA" w:rsidR="00D05E31" w:rsidRDefault="00F91D78" w:rsidP="00C154BD">
      <w:pPr>
        <w:rPr>
          <w:lang w:val="fr-CA"/>
        </w:rPr>
      </w:pPr>
      <w:r w:rsidRPr="00F91D78">
        <w:rPr>
          <w:lang w:val="fr-CA"/>
        </w:rPr>
        <w:t>Trois des quatre navettes exploitées par le Sénat sont équipées d</w:t>
      </w:r>
      <w:r w:rsidR="00F976EE">
        <w:rPr>
          <w:lang w:val="fr-CA"/>
        </w:rPr>
        <w:t>’</w:t>
      </w:r>
      <w:r w:rsidRPr="00F91D78">
        <w:rPr>
          <w:lang w:val="fr-CA"/>
        </w:rPr>
        <w:t xml:space="preserve">un ascenseur pour que les personnes utilisant un appareil de mobilité puissent entrer et sortir du bus. À la fin </w:t>
      </w:r>
      <w:r w:rsidRPr="00F91D78">
        <w:rPr>
          <w:lang w:val="fr-CA"/>
        </w:rPr>
        <w:lastRenderedPageBreak/>
        <w:t xml:space="preserve">de son cycle de vie, </w:t>
      </w:r>
      <w:r w:rsidR="00EC0CD0">
        <w:rPr>
          <w:lang w:val="fr-CA"/>
        </w:rPr>
        <w:t>la</w:t>
      </w:r>
      <w:r w:rsidRPr="00F91D78">
        <w:rPr>
          <w:lang w:val="fr-CA"/>
        </w:rPr>
        <w:t xml:space="preserve"> quatrième </w:t>
      </w:r>
      <w:r w:rsidR="00EC0CD0">
        <w:rPr>
          <w:lang w:val="fr-CA"/>
        </w:rPr>
        <w:t xml:space="preserve">navette sera remplacée </w:t>
      </w:r>
      <w:r w:rsidRPr="00F91D78">
        <w:rPr>
          <w:lang w:val="fr-CA"/>
        </w:rPr>
        <w:t>par un véhicule accessible aux fauteuils roulants. Les annonces d</w:t>
      </w:r>
      <w:r w:rsidR="00F976EE">
        <w:rPr>
          <w:lang w:val="fr-CA"/>
        </w:rPr>
        <w:t>’</w:t>
      </w:r>
      <w:r w:rsidRPr="00F91D78">
        <w:rPr>
          <w:lang w:val="fr-CA"/>
        </w:rPr>
        <w:t>arrêt sont faites en direct par les chauffeurs</w:t>
      </w:r>
      <w:r w:rsidR="3FC5437F" w:rsidRPr="00020975">
        <w:rPr>
          <w:lang w:val="fr-CA"/>
        </w:rPr>
        <w:t>.</w:t>
      </w:r>
    </w:p>
    <w:p w14:paraId="654A6C06" w14:textId="34CFC015" w:rsidR="006801CC" w:rsidRPr="00020975" w:rsidRDefault="006801CC" w:rsidP="00C154BD">
      <w:pPr>
        <w:rPr>
          <w:lang w:val="fr-CA"/>
        </w:rPr>
      </w:pPr>
      <w:r w:rsidRPr="006801CC">
        <w:rPr>
          <w:lang w:val="fr-CA"/>
        </w:rPr>
        <w:t xml:space="preserve">Le Sénat prend toutes les mesures raisonnables pour répondre aux besoins en matière de stationnement du personnel du Sénat </w:t>
      </w:r>
      <w:r w:rsidR="00F7443D">
        <w:rPr>
          <w:lang w:val="fr-CA"/>
        </w:rPr>
        <w:t>nécessitant</w:t>
      </w:r>
      <w:r w:rsidRPr="006801CC">
        <w:rPr>
          <w:lang w:val="fr-CA"/>
        </w:rPr>
        <w:t xml:space="preserve"> un aménagement approuvé. Toutes les demandes d</w:t>
      </w:r>
      <w:r w:rsidR="001361BE">
        <w:rPr>
          <w:lang w:val="fr-CA"/>
        </w:rPr>
        <w:t>’</w:t>
      </w:r>
      <w:r w:rsidRPr="006801CC">
        <w:rPr>
          <w:lang w:val="fr-CA"/>
        </w:rPr>
        <w:t>aménagement sont évaluées au cas par cas. Les plans des projets de construction sont également revus afin d</w:t>
      </w:r>
      <w:r w:rsidR="001361BE">
        <w:rPr>
          <w:lang w:val="fr-CA"/>
        </w:rPr>
        <w:t>’</w:t>
      </w:r>
      <w:r w:rsidRPr="006801CC">
        <w:rPr>
          <w:lang w:val="fr-CA"/>
        </w:rPr>
        <w:t>identifier les impacts potentiels sur les espaces de stationnement désignés par le Sénat.</w:t>
      </w:r>
    </w:p>
    <w:p w14:paraId="0C849E17" w14:textId="3AF33705" w:rsidR="00E17632" w:rsidRPr="00A03541" w:rsidRDefault="00A03541" w:rsidP="00911C8D">
      <w:pPr>
        <w:pStyle w:val="Heading3"/>
        <w:rPr>
          <w:lang w:val="fr-CA"/>
        </w:rPr>
      </w:pPr>
      <w:bookmarkStart w:id="42" w:name="_Toc117886775"/>
      <w:r w:rsidRPr="00A03541">
        <w:rPr>
          <w:lang w:val="fr-CA"/>
        </w:rPr>
        <w:t>Objectifs en matière d’accessibilité</w:t>
      </w:r>
      <w:bookmarkEnd w:id="42"/>
    </w:p>
    <w:p w14:paraId="2EF6D394" w14:textId="2E13D996" w:rsidR="00035AC3" w:rsidRPr="001F7D21" w:rsidRDefault="007D7F1C" w:rsidP="00911C8D">
      <w:pPr>
        <w:pStyle w:val="Bodynumberedlist"/>
        <w:numPr>
          <w:ilvl w:val="0"/>
          <w:numId w:val="10"/>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2023, le Sénat procédera à un examen de son service de navette afin d</w:t>
      </w:r>
      <w:r w:rsidR="00F976EE" w:rsidRPr="001F7D21">
        <w:rPr>
          <w:lang w:val="fr-CA"/>
        </w:rPr>
        <w:t>’</w:t>
      </w:r>
      <w:r w:rsidRPr="001F7D21">
        <w:rPr>
          <w:lang w:val="fr-CA"/>
        </w:rPr>
        <w:t>identifier et de supprimer tout obstacle à l</w:t>
      </w:r>
      <w:r w:rsidR="00F976EE" w:rsidRPr="001F7D21">
        <w:rPr>
          <w:lang w:val="fr-CA"/>
        </w:rPr>
        <w:t>’</w:t>
      </w:r>
      <w:r w:rsidRPr="001F7D21">
        <w:rPr>
          <w:lang w:val="fr-CA"/>
        </w:rPr>
        <w:t>accessibilité.</w:t>
      </w:r>
      <w:r w:rsidR="02AE9880" w:rsidRPr="001F7D21">
        <w:rPr>
          <w:lang w:val="fr-CA"/>
        </w:rPr>
        <w:t xml:space="preserve"> </w:t>
      </w:r>
    </w:p>
    <w:p w14:paraId="4A8F24C3" w14:textId="1F32138C" w:rsidR="00AC0C36" w:rsidRPr="001F7D21" w:rsidRDefault="00AC0C36" w:rsidP="00911C8D">
      <w:pPr>
        <w:pStyle w:val="Bodynumberedlist"/>
        <w:rPr>
          <w:lang w:val="fr-CA"/>
        </w:rPr>
      </w:pPr>
      <w:r w:rsidRPr="001F7D21">
        <w:rPr>
          <w:lang w:val="fr-CA"/>
        </w:rPr>
        <w:t>D</w:t>
      </w:r>
      <w:r w:rsidR="00C00E9A" w:rsidRPr="001F7D21">
        <w:rPr>
          <w:lang w:val="fr-CA"/>
        </w:rPr>
        <w:t>’</w:t>
      </w:r>
      <w:r w:rsidRPr="001F7D21">
        <w:rPr>
          <w:lang w:val="fr-CA"/>
        </w:rPr>
        <w:t xml:space="preserve">ici fin 2023, le Sénat complétera une mise à jour de la </w:t>
      </w:r>
      <w:r w:rsidRPr="001F7D21">
        <w:rPr>
          <w:i/>
          <w:iCs/>
          <w:lang w:val="fr-CA"/>
        </w:rPr>
        <w:t>Politique du Sénat relative au stationnement</w:t>
      </w:r>
      <w:r w:rsidRPr="001F7D21">
        <w:rPr>
          <w:lang w:val="fr-CA"/>
        </w:rPr>
        <w:t xml:space="preserve"> afin d</w:t>
      </w:r>
      <w:r w:rsidR="009F7E3F" w:rsidRPr="001F7D21">
        <w:rPr>
          <w:lang w:val="fr-CA"/>
        </w:rPr>
        <w:t>’</w:t>
      </w:r>
      <w:r w:rsidRPr="001F7D21">
        <w:rPr>
          <w:lang w:val="fr-CA"/>
        </w:rPr>
        <w:t>y inclure les pratiques d</w:t>
      </w:r>
      <w:r w:rsidR="009F7E3F" w:rsidRPr="001F7D21">
        <w:rPr>
          <w:lang w:val="fr-CA"/>
        </w:rPr>
        <w:t>’</w:t>
      </w:r>
      <w:r w:rsidRPr="001F7D21">
        <w:rPr>
          <w:lang w:val="fr-CA"/>
        </w:rPr>
        <w:t>aménagement établies et de s</w:t>
      </w:r>
      <w:r w:rsidR="009F7E3F" w:rsidRPr="001F7D21">
        <w:rPr>
          <w:lang w:val="fr-CA"/>
        </w:rPr>
        <w:t>’</w:t>
      </w:r>
      <w:r w:rsidRPr="001F7D21">
        <w:rPr>
          <w:lang w:val="fr-CA"/>
        </w:rPr>
        <w:t xml:space="preserve">assurer que les places de stationnement sont attribuées conformément </w:t>
      </w:r>
      <w:r w:rsidR="00F7443D" w:rsidRPr="001F7D21">
        <w:rPr>
          <w:lang w:val="fr-CA"/>
        </w:rPr>
        <w:t>aux obligations de</w:t>
      </w:r>
      <w:r w:rsidRPr="001F7D21">
        <w:rPr>
          <w:lang w:val="fr-CA"/>
        </w:rPr>
        <w:t xml:space="preserve"> la </w:t>
      </w:r>
      <w:r w:rsidRPr="001F7D21">
        <w:rPr>
          <w:i/>
          <w:iCs/>
          <w:lang w:val="fr-CA"/>
        </w:rPr>
        <w:t>Loi canadienne sur l</w:t>
      </w:r>
      <w:r w:rsidR="009F7E3F" w:rsidRPr="001F7D21">
        <w:rPr>
          <w:i/>
          <w:iCs/>
          <w:lang w:val="fr-CA"/>
        </w:rPr>
        <w:t>’</w:t>
      </w:r>
      <w:r w:rsidRPr="001F7D21">
        <w:rPr>
          <w:i/>
          <w:iCs/>
          <w:lang w:val="fr-CA"/>
        </w:rPr>
        <w:t>accessibilité</w:t>
      </w:r>
      <w:r w:rsidRPr="001F7D21">
        <w:rPr>
          <w:lang w:val="fr-CA"/>
        </w:rPr>
        <w:t xml:space="preserve"> et de la </w:t>
      </w:r>
      <w:r w:rsidRPr="001F7D21">
        <w:rPr>
          <w:i/>
          <w:iCs/>
          <w:lang w:val="fr-CA"/>
        </w:rPr>
        <w:t>Loi canadienne sur les droits de la personne</w:t>
      </w:r>
      <w:r w:rsidRPr="001F7D21">
        <w:rPr>
          <w:lang w:val="fr-CA"/>
        </w:rPr>
        <w:t>.</w:t>
      </w:r>
    </w:p>
    <w:p w14:paraId="4B842A1E" w14:textId="0514D7B3" w:rsidR="00035AC3" w:rsidRPr="001F7D21" w:rsidRDefault="00A556B9" w:rsidP="00911C8D">
      <w:pPr>
        <w:pStyle w:val="Bodynumberedlist"/>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2025, le Sénat mettra en place des annonces automatiques d</w:t>
      </w:r>
      <w:r w:rsidR="00F976EE" w:rsidRPr="001F7D21">
        <w:rPr>
          <w:lang w:val="fr-CA"/>
        </w:rPr>
        <w:t>’</w:t>
      </w:r>
      <w:r w:rsidRPr="001F7D21">
        <w:rPr>
          <w:lang w:val="fr-CA"/>
        </w:rPr>
        <w:t>arrêt sonores et visuelles (affichage par texte) dans toutes les navettes</w:t>
      </w:r>
      <w:r w:rsidR="00793A50" w:rsidRPr="001F7D21">
        <w:rPr>
          <w:lang w:val="fr-CA"/>
        </w:rPr>
        <w:t>.</w:t>
      </w:r>
      <w:r w:rsidR="00D81AF9" w:rsidRPr="001F7D21">
        <w:rPr>
          <w:lang w:val="fr-CA"/>
        </w:rPr>
        <w:t xml:space="preserve"> </w:t>
      </w:r>
    </w:p>
    <w:p w14:paraId="1CE32D3B" w14:textId="1D021FDC" w:rsidR="000D1CB8" w:rsidRPr="00020975" w:rsidRDefault="00D7129B" w:rsidP="00911C8D">
      <w:pPr>
        <w:pStyle w:val="Heading2"/>
        <w:rPr>
          <w:lang w:val="fr-CA"/>
        </w:rPr>
      </w:pPr>
      <w:bookmarkStart w:id="43" w:name="_Toc117886776"/>
      <w:r w:rsidRPr="00D7129B">
        <w:rPr>
          <w:lang w:val="fr-CA"/>
        </w:rPr>
        <w:t>Initiatives à l</w:t>
      </w:r>
      <w:r w:rsidR="00F976EE">
        <w:rPr>
          <w:lang w:val="fr-CA"/>
        </w:rPr>
        <w:t>’</w:t>
      </w:r>
      <w:r w:rsidRPr="00D7129B">
        <w:rPr>
          <w:lang w:val="fr-CA"/>
        </w:rPr>
        <w:t>échelle de l</w:t>
      </w:r>
      <w:r w:rsidR="00F976EE">
        <w:rPr>
          <w:lang w:val="fr-CA"/>
        </w:rPr>
        <w:t>’</w:t>
      </w:r>
      <w:r w:rsidRPr="00D7129B">
        <w:rPr>
          <w:lang w:val="fr-CA"/>
        </w:rPr>
        <w:t>organisation</w:t>
      </w:r>
      <w:bookmarkEnd w:id="43"/>
      <w:r w:rsidRPr="00020975">
        <w:rPr>
          <w:lang w:val="fr-CA"/>
        </w:rPr>
        <w:t xml:space="preserve"> </w:t>
      </w:r>
    </w:p>
    <w:p w14:paraId="3DAD9A6C" w14:textId="1EA65AAF" w:rsidR="000D1CB8" w:rsidRPr="005630A8" w:rsidRDefault="00EC0CD0" w:rsidP="003D6FEB">
      <w:pPr>
        <w:rPr>
          <w:lang w:val="fr-CA"/>
        </w:rPr>
      </w:pPr>
      <w:r w:rsidRPr="00EC0CD0">
        <w:rPr>
          <w:lang w:val="fr-CA"/>
        </w:rPr>
        <w:t>En plus des objectifs énumérés ci-dessus, d</w:t>
      </w:r>
      <w:r w:rsidR="009F7E3F">
        <w:rPr>
          <w:lang w:val="fr-CA"/>
        </w:rPr>
        <w:t>’</w:t>
      </w:r>
      <w:r w:rsidRPr="00EC0CD0">
        <w:rPr>
          <w:lang w:val="fr-CA"/>
        </w:rPr>
        <w:t>autres initiatives à l</w:t>
      </w:r>
      <w:r w:rsidR="009F7E3F">
        <w:rPr>
          <w:lang w:val="fr-CA"/>
        </w:rPr>
        <w:t>’</w:t>
      </w:r>
      <w:r w:rsidRPr="00EC0CD0">
        <w:rPr>
          <w:lang w:val="fr-CA"/>
        </w:rPr>
        <w:t>échelle du Sénat sont prévues</w:t>
      </w:r>
      <w:r w:rsidR="00995A5F" w:rsidRPr="005630A8">
        <w:rPr>
          <w:lang w:val="fr-CA"/>
        </w:rPr>
        <w:t xml:space="preserve">. </w:t>
      </w:r>
    </w:p>
    <w:p w14:paraId="275839BD" w14:textId="1830D0FF" w:rsidR="00EB4CE3" w:rsidRPr="00020975" w:rsidRDefault="0075783B" w:rsidP="00911C8D">
      <w:pPr>
        <w:pStyle w:val="Heading3"/>
        <w:rPr>
          <w:lang w:val="fr-CA"/>
        </w:rPr>
      </w:pPr>
      <w:bookmarkStart w:id="44" w:name="_Toc117886777"/>
      <w:r>
        <w:rPr>
          <w:lang w:val="fr-CA"/>
        </w:rPr>
        <w:t>Formation</w:t>
      </w:r>
      <w:bookmarkEnd w:id="44"/>
      <w:r w:rsidR="00844CDF" w:rsidRPr="00020975">
        <w:rPr>
          <w:lang w:val="fr-CA"/>
        </w:rPr>
        <w:t xml:space="preserve"> </w:t>
      </w:r>
    </w:p>
    <w:p w14:paraId="36DD207F" w14:textId="70AAF0D3" w:rsidR="00844CDF" w:rsidRPr="00020975" w:rsidRDefault="003B01FD" w:rsidP="003D6FEB">
      <w:pPr>
        <w:rPr>
          <w:lang w:val="fr-CA"/>
        </w:rPr>
      </w:pPr>
      <w:r w:rsidRPr="003B01FD">
        <w:rPr>
          <w:lang w:val="fr-CA"/>
        </w:rPr>
        <w:t xml:space="preserve">Bien que certaines formations individuelles </w:t>
      </w:r>
      <w:r w:rsidR="003E0E06" w:rsidRPr="003B01FD">
        <w:rPr>
          <w:lang w:val="fr-CA"/>
        </w:rPr>
        <w:t>aient</w:t>
      </w:r>
      <w:r w:rsidRPr="003B01FD">
        <w:rPr>
          <w:lang w:val="fr-CA"/>
        </w:rPr>
        <w:t xml:space="preserve"> été dispensées par le passé, il n</w:t>
      </w:r>
      <w:r w:rsidR="00F976EE">
        <w:rPr>
          <w:lang w:val="fr-CA"/>
        </w:rPr>
        <w:t>’</w:t>
      </w:r>
      <w:r w:rsidRPr="003B01FD">
        <w:rPr>
          <w:lang w:val="fr-CA"/>
        </w:rPr>
        <w:t xml:space="preserve">existe aucune formation </w:t>
      </w:r>
      <w:r w:rsidR="00F9541A" w:rsidRPr="003B01FD">
        <w:rPr>
          <w:lang w:val="fr-CA"/>
        </w:rPr>
        <w:t>qui soit liée au handicap ou à l</w:t>
      </w:r>
      <w:r w:rsidR="00F976EE">
        <w:rPr>
          <w:lang w:val="fr-CA"/>
        </w:rPr>
        <w:t>’</w:t>
      </w:r>
      <w:r w:rsidR="00F9541A" w:rsidRPr="003B01FD">
        <w:rPr>
          <w:lang w:val="fr-CA"/>
        </w:rPr>
        <w:t>accessibilité</w:t>
      </w:r>
      <w:r w:rsidR="00F9541A">
        <w:rPr>
          <w:lang w:val="fr-CA"/>
        </w:rPr>
        <w:t xml:space="preserve"> </w:t>
      </w:r>
      <w:r w:rsidRPr="003B01FD">
        <w:rPr>
          <w:lang w:val="fr-CA"/>
        </w:rPr>
        <w:t>à l</w:t>
      </w:r>
      <w:r w:rsidR="00F976EE">
        <w:rPr>
          <w:lang w:val="fr-CA"/>
        </w:rPr>
        <w:t>’</w:t>
      </w:r>
      <w:r w:rsidRPr="003B01FD">
        <w:rPr>
          <w:lang w:val="fr-CA"/>
        </w:rPr>
        <w:t>échelle de l</w:t>
      </w:r>
      <w:r w:rsidR="00F976EE">
        <w:rPr>
          <w:lang w:val="fr-CA"/>
        </w:rPr>
        <w:t>’</w:t>
      </w:r>
      <w:r w:rsidRPr="003B01FD">
        <w:rPr>
          <w:lang w:val="fr-CA"/>
        </w:rPr>
        <w:t>organisation pour le personnel du Sénat</w:t>
      </w:r>
      <w:r w:rsidR="00F9541A">
        <w:rPr>
          <w:lang w:val="fr-CA"/>
        </w:rPr>
        <w:t>.</w:t>
      </w:r>
      <w:r w:rsidR="00D81AF9" w:rsidRPr="00020975">
        <w:rPr>
          <w:lang w:val="fr-CA"/>
        </w:rPr>
        <w:t xml:space="preserve"> </w:t>
      </w:r>
    </w:p>
    <w:p w14:paraId="374E418C" w14:textId="16A3CAC0" w:rsidR="00EB4CE3" w:rsidRPr="001F7D21" w:rsidRDefault="003E0E06" w:rsidP="00911C8D">
      <w:pPr>
        <w:pStyle w:val="Bodynumberedlist"/>
        <w:numPr>
          <w:ilvl w:val="0"/>
          <w:numId w:val="11"/>
        </w:numPr>
        <w:rPr>
          <w:lang w:val="fr-CA"/>
        </w:r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2024, le Sénat mettra en place une formation de sensibilisation au</w:t>
      </w:r>
      <w:r w:rsidR="004023EE" w:rsidRPr="001F7D21">
        <w:rPr>
          <w:lang w:val="fr-CA"/>
        </w:rPr>
        <w:t>x</w:t>
      </w:r>
      <w:r w:rsidRPr="001F7D21">
        <w:rPr>
          <w:lang w:val="fr-CA"/>
        </w:rPr>
        <w:t xml:space="preserve"> handicap</w:t>
      </w:r>
      <w:r w:rsidR="004023EE" w:rsidRPr="001F7D21">
        <w:rPr>
          <w:lang w:val="fr-CA"/>
        </w:rPr>
        <w:t>s</w:t>
      </w:r>
      <w:r w:rsidRPr="001F7D21">
        <w:rPr>
          <w:lang w:val="fr-CA"/>
        </w:rPr>
        <w:t xml:space="preserve"> et à l</w:t>
      </w:r>
      <w:r w:rsidR="00F976EE" w:rsidRPr="001F7D21">
        <w:rPr>
          <w:lang w:val="fr-CA"/>
        </w:rPr>
        <w:t>’</w:t>
      </w:r>
      <w:r w:rsidRPr="001F7D21">
        <w:rPr>
          <w:lang w:val="fr-CA"/>
        </w:rPr>
        <w:t>accessibilité à l</w:t>
      </w:r>
      <w:r w:rsidR="00F976EE" w:rsidRPr="001F7D21">
        <w:rPr>
          <w:lang w:val="fr-CA"/>
        </w:rPr>
        <w:t>’</w:t>
      </w:r>
      <w:r w:rsidRPr="001F7D21">
        <w:rPr>
          <w:lang w:val="fr-CA"/>
        </w:rPr>
        <w:t>échelle de l</w:t>
      </w:r>
      <w:r w:rsidR="00F976EE" w:rsidRPr="001F7D21">
        <w:rPr>
          <w:lang w:val="fr-CA"/>
        </w:rPr>
        <w:t>’</w:t>
      </w:r>
      <w:r w:rsidRPr="001F7D21">
        <w:rPr>
          <w:lang w:val="fr-CA"/>
        </w:rPr>
        <w:t xml:space="preserve">organisation. Cette formation sera </w:t>
      </w:r>
      <w:r w:rsidRPr="001F7D21">
        <w:rPr>
          <w:lang w:val="fr-CA"/>
        </w:rPr>
        <w:lastRenderedPageBreak/>
        <w:t>obligatoire pour tous les membres du personnel du Sénat et fera partie du processus d</w:t>
      </w:r>
      <w:r w:rsidR="00F976EE" w:rsidRPr="001F7D21">
        <w:rPr>
          <w:lang w:val="fr-CA"/>
        </w:rPr>
        <w:t>’</w:t>
      </w:r>
      <w:r w:rsidRPr="001F7D21">
        <w:rPr>
          <w:lang w:val="fr-CA"/>
        </w:rPr>
        <w:t xml:space="preserve">accueil standard des nouveaux membres du personnel. </w:t>
      </w:r>
      <w:r w:rsidR="00952BFE" w:rsidRPr="001F7D21">
        <w:rPr>
          <w:lang w:val="fr-CA"/>
        </w:rPr>
        <w:t>Cette formation sera également disponible pour les sénateurs et</w:t>
      </w:r>
      <w:r w:rsidRPr="001F7D21">
        <w:rPr>
          <w:lang w:val="fr-CA"/>
        </w:rPr>
        <w:t xml:space="preserve"> couvrira notamment les sujets suivants :</w:t>
      </w:r>
    </w:p>
    <w:p w14:paraId="0B7AF00B" w14:textId="64D17ACD" w:rsidR="00EB4CE3" w:rsidRPr="001F7D21" w:rsidRDefault="003E0E06" w:rsidP="00911C8D">
      <w:pPr>
        <w:pStyle w:val="Bodynumberedlist"/>
        <w:numPr>
          <w:ilvl w:val="1"/>
          <w:numId w:val="12"/>
        </w:numPr>
        <w:rPr>
          <w:lang w:val="fr-CA"/>
        </w:rPr>
      </w:pPr>
      <w:r w:rsidRPr="001F7D21">
        <w:rPr>
          <w:lang w:val="fr-CA"/>
        </w:rPr>
        <w:t xml:space="preserve">présentation des différents types de handicaps et </w:t>
      </w:r>
      <w:r w:rsidR="00F9541A" w:rsidRPr="001F7D21">
        <w:rPr>
          <w:lang w:val="fr-CA"/>
        </w:rPr>
        <w:t>des</w:t>
      </w:r>
      <w:r w:rsidRPr="001F7D21">
        <w:rPr>
          <w:lang w:val="fr-CA"/>
        </w:rPr>
        <w:t xml:space="preserve"> types d</w:t>
      </w:r>
      <w:r w:rsidR="00F976EE" w:rsidRPr="001F7D21">
        <w:rPr>
          <w:lang w:val="fr-CA"/>
        </w:rPr>
        <w:t>’</w:t>
      </w:r>
      <w:r w:rsidRPr="001F7D21">
        <w:rPr>
          <w:lang w:val="fr-CA"/>
        </w:rPr>
        <w:t xml:space="preserve">obstacles auxquels les personnes </w:t>
      </w:r>
      <w:r w:rsidR="004023EE" w:rsidRPr="001F7D21">
        <w:rPr>
          <w:lang w:val="fr-CA"/>
        </w:rPr>
        <w:t>en situation</w:t>
      </w:r>
      <w:r w:rsidRPr="001F7D21">
        <w:rPr>
          <w:lang w:val="fr-CA"/>
        </w:rPr>
        <w:t xml:space="preserve"> de handicap sont souvent confrontées</w:t>
      </w:r>
      <w:r w:rsidR="00EA68C3" w:rsidRPr="001F7D21">
        <w:rPr>
          <w:lang w:val="fr-CA"/>
        </w:rPr>
        <w:t>;</w:t>
      </w:r>
      <w:r w:rsidR="00EB4CE3" w:rsidRPr="001F7D21">
        <w:rPr>
          <w:lang w:val="fr-CA"/>
        </w:rPr>
        <w:t xml:space="preserve"> </w:t>
      </w:r>
    </w:p>
    <w:p w14:paraId="74328FF9" w14:textId="3369B28A" w:rsidR="00EB4CE3" w:rsidRPr="001F7D21" w:rsidRDefault="003E0E06" w:rsidP="00911C8D">
      <w:pPr>
        <w:pStyle w:val="Bodynumberedlist"/>
        <w:numPr>
          <w:ilvl w:val="1"/>
          <w:numId w:val="12"/>
        </w:numPr>
        <w:rPr>
          <w:lang w:val="fr-CA"/>
        </w:rPr>
      </w:pPr>
      <w:r w:rsidRPr="001F7D21">
        <w:rPr>
          <w:lang w:val="fr-CA"/>
        </w:rPr>
        <w:t>comment interagir avec des personnes présentant différents types de handicaps, y compris les pratiques exemplaires de communication et la manière d</w:t>
      </w:r>
      <w:r w:rsidR="00F976EE" w:rsidRPr="001F7D21">
        <w:rPr>
          <w:lang w:val="fr-CA"/>
        </w:rPr>
        <w:t>’</w:t>
      </w:r>
      <w:r w:rsidRPr="001F7D21">
        <w:rPr>
          <w:lang w:val="fr-CA"/>
        </w:rPr>
        <w:t>offrir de l</w:t>
      </w:r>
      <w:r w:rsidR="00F976EE" w:rsidRPr="001F7D21">
        <w:rPr>
          <w:lang w:val="fr-CA"/>
        </w:rPr>
        <w:t>’</w:t>
      </w:r>
      <w:r w:rsidRPr="001F7D21">
        <w:rPr>
          <w:lang w:val="fr-CA"/>
        </w:rPr>
        <w:t>aide</w:t>
      </w:r>
      <w:r w:rsidR="00EA68C3" w:rsidRPr="001F7D21">
        <w:rPr>
          <w:lang w:val="fr-CA"/>
        </w:rPr>
        <w:t>;</w:t>
      </w:r>
    </w:p>
    <w:p w14:paraId="573BF5B8" w14:textId="25130C28" w:rsidR="00EB4CE3" w:rsidRPr="001F7D21" w:rsidRDefault="00F21D19" w:rsidP="00911C8D">
      <w:pPr>
        <w:pStyle w:val="Bodynumberedlist"/>
        <w:numPr>
          <w:ilvl w:val="1"/>
          <w:numId w:val="12"/>
        </w:numPr>
        <w:rPr>
          <w:lang w:val="fr-CA"/>
        </w:rPr>
      </w:pPr>
      <w:r w:rsidRPr="001F7D21">
        <w:rPr>
          <w:lang w:val="fr-CA"/>
        </w:rPr>
        <w:t>présentation des idées pour s</w:t>
      </w:r>
      <w:r w:rsidR="00F976EE" w:rsidRPr="001F7D21">
        <w:rPr>
          <w:lang w:val="fr-CA"/>
        </w:rPr>
        <w:t>’</w:t>
      </w:r>
      <w:r w:rsidRPr="001F7D21">
        <w:rPr>
          <w:lang w:val="fr-CA"/>
        </w:rPr>
        <w:t>assurer que l</w:t>
      </w:r>
      <w:r w:rsidR="00F976EE" w:rsidRPr="001F7D21">
        <w:rPr>
          <w:lang w:val="fr-CA"/>
        </w:rPr>
        <w:t>’</w:t>
      </w:r>
      <w:r w:rsidRPr="001F7D21">
        <w:rPr>
          <w:lang w:val="fr-CA"/>
        </w:rPr>
        <w:t>information, la communication et les espaces physiques sont accessibles à toutes les personnes</w:t>
      </w:r>
      <w:r w:rsidR="00EA68C3" w:rsidRPr="001F7D21">
        <w:rPr>
          <w:lang w:val="fr-CA"/>
        </w:rPr>
        <w:t>;</w:t>
      </w:r>
    </w:p>
    <w:p w14:paraId="6A57AE0F" w14:textId="68200B3F" w:rsidR="00E42F9D" w:rsidRPr="001F7D21" w:rsidRDefault="00F21D19" w:rsidP="00911C8D">
      <w:pPr>
        <w:pStyle w:val="Bodynumberedlist"/>
        <w:numPr>
          <w:ilvl w:val="1"/>
          <w:numId w:val="12"/>
        </w:numPr>
        <w:rPr>
          <w:lang w:val="fr-CA"/>
        </w:rPr>
      </w:pPr>
      <w:r w:rsidRPr="001F7D21">
        <w:rPr>
          <w:lang w:val="fr-CA"/>
        </w:rPr>
        <w:t>informations sur la manière d</w:t>
      </w:r>
      <w:r w:rsidR="00F976EE" w:rsidRPr="001F7D21">
        <w:rPr>
          <w:lang w:val="fr-CA"/>
        </w:rPr>
        <w:t>’</w:t>
      </w:r>
      <w:r w:rsidRPr="001F7D21">
        <w:rPr>
          <w:lang w:val="fr-CA"/>
        </w:rPr>
        <w:t xml:space="preserve">aider les </w:t>
      </w:r>
      <w:r w:rsidR="0031675D" w:rsidRPr="001F7D21">
        <w:rPr>
          <w:lang w:val="fr-CA"/>
        </w:rPr>
        <w:t xml:space="preserve">personnes </w:t>
      </w:r>
      <w:r w:rsidR="00AD6B7C" w:rsidRPr="001F7D21">
        <w:rPr>
          <w:lang w:val="fr-CA"/>
        </w:rPr>
        <w:t>en situation de handicap</w:t>
      </w:r>
      <w:r w:rsidRPr="001F7D21">
        <w:rPr>
          <w:lang w:val="fr-CA"/>
        </w:rPr>
        <w:t xml:space="preserve"> en cas d</w:t>
      </w:r>
      <w:r w:rsidR="00F976EE" w:rsidRPr="001F7D21">
        <w:rPr>
          <w:lang w:val="fr-CA"/>
        </w:rPr>
        <w:t>’</w:t>
      </w:r>
      <w:r w:rsidRPr="001F7D21">
        <w:rPr>
          <w:lang w:val="fr-CA"/>
        </w:rPr>
        <w:t>urgence</w:t>
      </w:r>
      <w:r w:rsidR="007C532D" w:rsidRPr="001F7D21">
        <w:rPr>
          <w:lang w:val="fr-CA"/>
        </w:rPr>
        <w:t>.</w:t>
      </w:r>
      <w:r w:rsidR="00E42F9D" w:rsidRPr="001F7D21">
        <w:rPr>
          <w:lang w:val="fr-CA"/>
        </w:rPr>
        <w:t xml:space="preserve"> </w:t>
      </w:r>
    </w:p>
    <w:p w14:paraId="7D5ED324" w14:textId="1FAFF3F8" w:rsidR="00AC3293" w:rsidRPr="00020975" w:rsidRDefault="00671F59" w:rsidP="00911C8D">
      <w:pPr>
        <w:pStyle w:val="Heading3"/>
        <w:rPr>
          <w:lang w:val="fr-CA"/>
        </w:rPr>
      </w:pPr>
      <w:bookmarkStart w:id="45" w:name="_Toc117886778"/>
      <w:r>
        <w:rPr>
          <w:lang w:val="fr-CA"/>
        </w:rPr>
        <w:t>Trousse d’outils sur l’accessibilité pour les sénateurs</w:t>
      </w:r>
      <w:bookmarkEnd w:id="45"/>
      <w:r w:rsidR="00AC3293" w:rsidRPr="00020975">
        <w:rPr>
          <w:lang w:val="fr-CA"/>
        </w:rPr>
        <w:t xml:space="preserve"> </w:t>
      </w:r>
    </w:p>
    <w:p w14:paraId="2C23D4D8" w14:textId="62EFAF0D" w:rsidR="00F3114D" w:rsidRPr="00020975" w:rsidRDefault="00D32468" w:rsidP="003D6FEB">
      <w:pPr>
        <w:rPr>
          <w:lang w:val="fr-CA"/>
        </w:rPr>
      </w:pPr>
      <w:r w:rsidRPr="00D32468">
        <w:rPr>
          <w:lang w:val="fr-CA"/>
        </w:rPr>
        <w:t>Nous avons identifié un besoin de fournir des informations et des conseils spécifiques aux sénateurs</w:t>
      </w:r>
      <w:r w:rsidR="00952BFE">
        <w:rPr>
          <w:lang w:val="fr-CA"/>
        </w:rPr>
        <w:t xml:space="preserve"> et</w:t>
      </w:r>
      <w:r w:rsidRPr="00D32468">
        <w:rPr>
          <w:lang w:val="fr-CA"/>
        </w:rPr>
        <w:t xml:space="preserve"> à leur personnel</w:t>
      </w:r>
      <w:r w:rsidR="00952BFE">
        <w:rPr>
          <w:lang w:val="fr-CA"/>
        </w:rPr>
        <w:t>.</w:t>
      </w:r>
      <w:r w:rsidR="00B7085A" w:rsidRPr="00020975">
        <w:rPr>
          <w:lang w:val="fr-CA"/>
        </w:rPr>
        <w:t xml:space="preserve"> </w:t>
      </w:r>
    </w:p>
    <w:p w14:paraId="724BEA62" w14:textId="5D16182A" w:rsidR="00B7085A" w:rsidRPr="003D6FEB" w:rsidRDefault="003A017E" w:rsidP="00911C8D">
      <w:pPr>
        <w:pStyle w:val="Bodynumberedlist"/>
        <w:numPr>
          <w:ilvl w:val="0"/>
          <w:numId w:val="13"/>
        </w:numPr>
      </w:pPr>
      <w:r w:rsidRPr="001F7D21">
        <w:rPr>
          <w:lang w:val="fr-CA"/>
        </w:rPr>
        <w:t>D</w:t>
      </w:r>
      <w:r w:rsidR="00F976EE" w:rsidRPr="001F7D21">
        <w:rPr>
          <w:lang w:val="fr-CA"/>
        </w:rPr>
        <w:t>’</w:t>
      </w:r>
      <w:r w:rsidRPr="001F7D21">
        <w:rPr>
          <w:lang w:val="fr-CA"/>
        </w:rPr>
        <w:t>ici fin</w:t>
      </w:r>
      <w:r w:rsidR="00BE74F0" w:rsidRPr="001F7D21">
        <w:rPr>
          <w:lang w:val="fr-CA"/>
        </w:rPr>
        <w:t> </w:t>
      </w:r>
      <w:r w:rsidRPr="001F7D21">
        <w:rPr>
          <w:lang w:val="fr-CA"/>
        </w:rPr>
        <w:t>2025, le Sénat élaborera une trousse d</w:t>
      </w:r>
      <w:r w:rsidR="00F976EE" w:rsidRPr="001F7D21">
        <w:rPr>
          <w:lang w:val="fr-CA"/>
        </w:rPr>
        <w:t>’</w:t>
      </w:r>
      <w:r w:rsidRPr="001F7D21">
        <w:rPr>
          <w:lang w:val="fr-CA"/>
        </w:rPr>
        <w:t>outils sur l</w:t>
      </w:r>
      <w:r w:rsidR="00F976EE" w:rsidRPr="001F7D21">
        <w:rPr>
          <w:lang w:val="fr-CA"/>
        </w:rPr>
        <w:t>’</w:t>
      </w:r>
      <w:r w:rsidRPr="001F7D21">
        <w:rPr>
          <w:lang w:val="fr-CA"/>
        </w:rPr>
        <w:t>accessibilité à l</w:t>
      </w:r>
      <w:r w:rsidR="00F976EE" w:rsidRPr="001F7D21">
        <w:rPr>
          <w:lang w:val="fr-CA"/>
        </w:rPr>
        <w:t>’</w:t>
      </w:r>
      <w:r w:rsidRPr="001F7D21">
        <w:rPr>
          <w:lang w:val="fr-CA"/>
        </w:rPr>
        <w:t>intention des sénateurs</w:t>
      </w:r>
      <w:r w:rsidR="00952BFE" w:rsidRPr="001F7D21">
        <w:rPr>
          <w:lang w:val="fr-CA"/>
        </w:rPr>
        <w:t xml:space="preserve"> et leur personnel</w:t>
      </w:r>
      <w:r w:rsidRPr="001F7D21">
        <w:rPr>
          <w:lang w:val="fr-CA"/>
        </w:rPr>
        <w:t>. Cette trousse offrira une formation et des conseils aux sénateurs pour intégrer les pratiques exemplaires en matière d</w:t>
      </w:r>
      <w:r w:rsidR="00F976EE" w:rsidRPr="001F7D21">
        <w:rPr>
          <w:lang w:val="fr-CA"/>
        </w:rPr>
        <w:t>’</w:t>
      </w:r>
      <w:r w:rsidRPr="001F7D21">
        <w:rPr>
          <w:lang w:val="fr-CA"/>
        </w:rPr>
        <w:t>accessibilité dans les activités qu</w:t>
      </w:r>
      <w:r w:rsidR="00F976EE" w:rsidRPr="001F7D21">
        <w:rPr>
          <w:lang w:val="fr-CA"/>
        </w:rPr>
        <w:t>’</w:t>
      </w:r>
      <w:r w:rsidRPr="001F7D21">
        <w:rPr>
          <w:lang w:val="fr-CA"/>
        </w:rPr>
        <w:t xml:space="preserve">ils entreprennent en dehors de la </w:t>
      </w:r>
      <w:r w:rsidR="0097446A" w:rsidRPr="001F7D21">
        <w:rPr>
          <w:lang w:val="fr-CA"/>
        </w:rPr>
        <w:t>C</w:t>
      </w:r>
      <w:r w:rsidRPr="001F7D21">
        <w:rPr>
          <w:lang w:val="fr-CA"/>
        </w:rPr>
        <w:t xml:space="preserve">hambre et des comités. </w:t>
      </w:r>
      <w:proofErr w:type="spellStart"/>
      <w:r w:rsidRPr="003D6FEB">
        <w:t>Cette</w:t>
      </w:r>
      <w:proofErr w:type="spellEnd"/>
      <w:r w:rsidRPr="003D6FEB">
        <w:t xml:space="preserve"> </w:t>
      </w:r>
      <w:proofErr w:type="spellStart"/>
      <w:r w:rsidRPr="003D6FEB">
        <w:t>trousse</w:t>
      </w:r>
      <w:proofErr w:type="spellEnd"/>
      <w:r w:rsidR="00EB7D06" w:rsidRPr="003D6FEB">
        <w:t xml:space="preserve"> </w:t>
      </w:r>
      <w:proofErr w:type="spellStart"/>
      <w:r w:rsidR="00EB7D06" w:rsidRPr="003D6FEB">
        <w:t>d’</w:t>
      </w:r>
      <w:r w:rsidRPr="003D6FEB">
        <w:t>outils</w:t>
      </w:r>
      <w:proofErr w:type="spellEnd"/>
      <w:r w:rsidRPr="003D6FEB">
        <w:t xml:space="preserve"> </w:t>
      </w:r>
      <w:proofErr w:type="spellStart"/>
      <w:r w:rsidRPr="003D6FEB">
        <w:t>pourra</w:t>
      </w:r>
      <w:proofErr w:type="spellEnd"/>
      <w:r w:rsidRPr="003D6FEB">
        <w:t xml:space="preserve"> </w:t>
      </w:r>
      <w:proofErr w:type="spellStart"/>
      <w:r w:rsidRPr="003D6FEB">
        <w:t>comprendre</w:t>
      </w:r>
      <w:proofErr w:type="spellEnd"/>
      <w:r w:rsidRPr="003D6FEB">
        <w:t xml:space="preserve"> les </w:t>
      </w:r>
      <w:proofErr w:type="spellStart"/>
      <w:r w:rsidRPr="003D6FEB">
        <w:t>éléments</w:t>
      </w:r>
      <w:proofErr w:type="spellEnd"/>
      <w:r w:rsidRPr="003D6FEB">
        <w:t xml:space="preserve"> </w:t>
      </w:r>
      <w:proofErr w:type="spellStart"/>
      <w:r w:rsidRPr="003D6FEB">
        <w:t>suivants</w:t>
      </w:r>
      <w:proofErr w:type="spellEnd"/>
      <w:r w:rsidR="00BE74F0" w:rsidRPr="003D6FEB">
        <w:t> </w:t>
      </w:r>
      <w:r w:rsidRPr="003D6FEB">
        <w:t>:</w:t>
      </w:r>
    </w:p>
    <w:p w14:paraId="2C4FEC0A" w14:textId="1A0E1424" w:rsidR="00C56DCE" w:rsidRPr="001F7D21" w:rsidRDefault="00D96457" w:rsidP="00911C8D">
      <w:pPr>
        <w:pStyle w:val="Bodynumberedlist"/>
        <w:numPr>
          <w:ilvl w:val="1"/>
          <w:numId w:val="14"/>
        </w:numPr>
        <w:rPr>
          <w:lang w:val="fr-CA"/>
        </w:rPr>
      </w:pPr>
      <w:r w:rsidRPr="001F7D21">
        <w:rPr>
          <w:lang w:val="fr-CA"/>
        </w:rPr>
        <w:t>une formation de base de sensibilisation à l</w:t>
      </w:r>
      <w:r w:rsidR="00F976EE" w:rsidRPr="001F7D21">
        <w:rPr>
          <w:lang w:val="fr-CA"/>
        </w:rPr>
        <w:t>’</w:t>
      </w:r>
      <w:r w:rsidRPr="001F7D21">
        <w:rPr>
          <w:lang w:val="fr-CA"/>
        </w:rPr>
        <w:t>accessibilité et des conseils sur la manière d</w:t>
      </w:r>
      <w:r w:rsidR="00F976EE" w:rsidRPr="001F7D21">
        <w:rPr>
          <w:lang w:val="fr-CA"/>
        </w:rPr>
        <w:t>’</w:t>
      </w:r>
      <w:r w:rsidRPr="001F7D21">
        <w:rPr>
          <w:lang w:val="fr-CA"/>
        </w:rPr>
        <w:t xml:space="preserve">interagir avec les personnes </w:t>
      </w:r>
      <w:r w:rsidR="004023EE" w:rsidRPr="001F7D21">
        <w:rPr>
          <w:lang w:val="fr-CA"/>
        </w:rPr>
        <w:t>en situation de han</w:t>
      </w:r>
      <w:r w:rsidRPr="001F7D21">
        <w:rPr>
          <w:lang w:val="fr-CA"/>
        </w:rPr>
        <w:t>dicap</w:t>
      </w:r>
      <w:r w:rsidR="00951A4C" w:rsidRPr="001F7D21">
        <w:rPr>
          <w:lang w:val="fr-CA"/>
        </w:rPr>
        <w:t>;</w:t>
      </w:r>
    </w:p>
    <w:p w14:paraId="522B3EAE" w14:textId="0D834109" w:rsidR="00B7085A" w:rsidRPr="001F7D21" w:rsidRDefault="00D96457" w:rsidP="00911C8D">
      <w:pPr>
        <w:pStyle w:val="Bodynumberedlist"/>
        <w:numPr>
          <w:ilvl w:val="1"/>
          <w:numId w:val="14"/>
        </w:numPr>
        <w:rPr>
          <w:lang w:val="fr-CA"/>
        </w:rPr>
      </w:pPr>
      <w:r w:rsidRPr="001F7D21">
        <w:rPr>
          <w:lang w:val="fr-CA"/>
        </w:rPr>
        <w:t>des conseils pour accueillir et présider des réunions et des événements de manière accessible et pour faire des présentations accessibles</w:t>
      </w:r>
      <w:r w:rsidR="00951A4C" w:rsidRPr="001F7D21">
        <w:rPr>
          <w:lang w:val="fr-CA"/>
        </w:rPr>
        <w:t>;</w:t>
      </w:r>
      <w:r w:rsidR="00B7085A" w:rsidRPr="001F7D21">
        <w:rPr>
          <w:lang w:val="fr-CA"/>
        </w:rPr>
        <w:t xml:space="preserve"> </w:t>
      </w:r>
    </w:p>
    <w:p w14:paraId="590AA797" w14:textId="13AC5B0A" w:rsidR="00B7085A" w:rsidRPr="001F7D21" w:rsidRDefault="00D96457" w:rsidP="00911C8D">
      <w:pPr>
        <w:pStyle w:val="Bodynumberedlist"/>
        <w:numPr>
          <w:ilvl w:val="1"/>
          <w:numId w:val="14"/>
        </w:numPr>
        <w:rPr>
          <w:lang w:val="fr-CA"/>
        </w:rPr>
      </w:pPr>
      <w:r w:rsidRPr="001F7D21">
        <w:rPr>
          <w:lang w:val="fr-CA"/>
        </w:rPr>
        <w:lastRenderedPageBreak/>
        <w:t>des conseils pour créer des documents et des présentations PowerPoint accessibles</w:t>
      </w:r>
      <w:r w:rsidR="00951A4C" w:rsidRPr="001F7D21">
        <w:rPr>
          <w:lang w:val="fr-CA"/>
        </w:rPr>
        <w:t xml:space="preserve">; </w:t>
      </w:r>
    </w:p>
    <w:p w14:paraId="037D1813" w14:textId="7DB56B49" w:rsidR="00872D62" w:rsidRPr="001F7D21" w:rsidRDefault="00D96457" w:rsidP="00911C8D">
      <w:pPr>
        <w:pStyle w:val="Bodynumberedlist"/>
        <w:numPr>
          <w:ilvl w:val="1"/>
          <w:numId w:val="14"/>
        </w:numPr>
        <w:rPr>
          <w:lang w:val="fr-CA"/>
        </w:rPr>
      </w:pPr>
      <w:r w:rsidRPr="001F7D21">
        <w:rPr>
          <w:lang w:val="fr-CA"/>
        </w:rPr>
        <w:t>des conseils pour s</w:t>
      </w:r>
      <w:r w:rsidR="00F976EE" w:rsidRPr="001F7D21">
        <w:rPr>
          <w:lang w:val="fr-CA"/>
        </w:rPr>
        <w:t>’</w:t>
      </w:r>
      <w:r w:rsidRPr="001F7D21">
        <w:rPr>
          <w:lang w:val="fr-CA"/>
        </w:rPr>
        <w:t xml:space="preserve">assurer que les messages sur les médias sociaux, les mises à jour du site </w:t>
      </w:r>
      <w:r w:rsidR="00BE74F0" w:rsidRPr="001F7D21">
        <w:rPr>
          <w:lang w:val="fr-CA"/>
        </w:rPr>
        <w:t>W</w:t>
      </w:r>
      <w:r w:rsidRPr="001F7D21">
        <w:rPr>
          <w:lang w:val="fr-CA"/>
        </w:rPr>
        <w:t>eb et les autres formes de communication électronique sont accessibles.</w:t>
      </w:r>
      <w:r w:rsidR="00B7085A" w:rsidRPr="001F7D21">
        <w:rPr>
          <w:lang w:val="fr-CA"/>
        </w:rPr>
        <w:t xml:space="preserve"> </w:t>
      </w:r>
    </w:p>
    <w:p w14:paraId="71AB0034" w14:textId="61A793BC" w:rsidR="004F577C" w:rsidRPr="00020975" w:rsidRDefault="004F577C" w:rsidP="00911C8D">
      <w:pPr>
        <w:pStyle w:val="Heading3"/>
        <w:rPr>
          <w:lang w:val="fr-CA"/>
        </w:rPr>
      </w:pPr>
      <w:bookmarkStart w:id="46" w:name="_Toc117886779"/>
      <w:r w:rsidRPr="00020975">
        <w:rPr>
          <w:lang w:val="fr-CA"/>
        </w:rPr>
        <w:t>Co</w:t>
      </w:r>
      <w:r w:rsidR="00186915">
        <w:rPr>
          <w:lang w:val="fr-CA"/>
        </w:rPr>
        <w:t>nformité aux futures normes</w:t>
      </w:r>
      <w:bookmarkEnd w:id="46"/>
      <w:r w:rsidRPr="00020975">
        <w:rPr>
          <w:lang w:val="fr-CA"/>
        </w:rPr>
        <w:t xml:space="preserve"> </w:t>
      </w:r>
    </w:p>
    <w:p w14:paraId="6F06D69C" w14:textId="55BF7B6C" w:rsidR="00DB6BFE" w:rsidRPr="00020975" w:rsidRDefault="00186915" w:rsidP="001A74F1">
      <w:pPr>
        <w:rPr>
          <w:lang w:val="fr-CA"/>
        </w:rPr>
      </w:pPr>
      <w:r w:rsidRPr="00186915">
        <w:rPr>
          <w:lang w:val="fr-CA"/>
        </w:rPr>
        <w:t>Normes d</w:t>
      </w:r>
      <w:r w:rsidR="00F976EE">
        <w:rPr>
          <w:lang w:val="fr-CA"/>
        </w:rPr>
        <w:t>’</w:t>
      </w:r>
      <w:r w:rsidRPr="00186915">
        <w:rPr>
          <w:lang w:val="fr-CA"/>
        </w:rPr>
        <w:t>accessibilité Canada</w:t>
      </w:r>
      <w:r w:rsidR="003715FA">
        <w:rPr>
          <w:lang w:val="fr-CA"/>
        </w:rPr>
        <w:t xml:space="preserve"> (NAC)</w:t>
      </w:r>
      <w:r w:rsidRPr="00186915">
        <w:rPr>
          <w:lang w:val="fr-CA"/>
        </w:rPr>
        <w:t xml:space="preserve"> est responsable de l</w:t>
      </w:r>
      <w:r w:rsidR="00F976EE">
        <w:rPr>
          <w:lang w:val="fr-CA"/>
        </w:rPr>
        <w:t>’</w:t>
      </w:r>
      <w:r w:rsidRPr="00186915">
        <w:rPr>
          <w:lang w:val="fr-CA"/>
        </w:rPr>
        <w:t>élaboration de normes d</w:t>
      </w:r>
      <w:r w:rsidR="00F976EE">
        <w:rPr>
          <w:lang w:val="fr-CA"/>
        </w:rPr>
        <w:t>’</w:t>
      </w:r>
      <w:r w:rsidRPr="00186915">
        <w:rPr>
          <w:lang w:val="fr-CA"/>
        </w:rPr>
        <w:t>accessibilité visant à éliminer les obstacles à l</w:t>
      </w:r>
      <w:r w:rsidR="00F976EE">
        <w:rPr>
          <w:lang w:val="fr-CA"/>
        </w:rPr>
        <w:t>’</w:t>
      </w:r>
      <w:r w:rsidRPr="00186915">
        <w:rPr>
          <w:lang w:val="fr-CA"/>
        </w:rPr>
        <w:t xml:space="preserve">accès auxquels font face les </w:t>
      </w:r>
      <w:r w:rsidR="0031675D">
        <w:rPr>
          <w:lang w:val="fr-CA"/>
        </w:rPr>
        <w:t xml:space="preserve">personnes </w:t>
      </w:r>
      <w:r w:rsidR="00AD6B7C">
        <w:rPr>
          <w:lang w:val="fr-CA"/>
        </w:rPr>
        <w:t>en situation de handicap</w:t>
      </w:r>
      <w:r w:rsidRPr="00186915">
        <w:rPr>
          <w:lang w:val="fr-CA"/>
        </w:rPr>
        <w:t>. Ces normes s</w:t>
      </w:r>
      <w:r w:rsidR="00F976EE">
        <w:rPr>
          <w:lang w:val="fr-CA"/>
        </w:rPr>
        <w:t>’</w:t>
      </w:r>
      <w:r w:rsidRPr="00186915">
        <w:rPr>
          <w:lang w:val="fr-CA"/>
        </w:rPr>
        <w:t xml:space="preserve">inscrivent dans les domaines prioritaires énumérés dans la </w:t>
      </w:r>
      <w:r w:rsidRPr="00186915">
        <w:rPr>
          <w:i/>
          <w:iCs/>
          <w:lang w:val="fr-CA"/>
        </w:rPr>
        <w:t>Loi canadienne sur l’accessibilité</w:t>
      </w:r>
      <w:r w:rsidRPr="00186915">
        <w:rPr>
          <w:lang w:val="fr-CA"/>
        </w:rPr>
        <w:t>.</w:t>
      </w:r>
    </w:p>
    <w:p w14:paraId="02D2CE33" w14:textId="5D60CF0C" w:rsidR="004F577C" w:rsidRPr="00020975" w:rsidRDefault="003715FA" w:rsidP="001A74F1">
      <w:pPr>
        <w:rPr>
          <w:lang w:val="fr-CA"/>
        </w:rPr>
      </w:pPr>
      <w:r>
        <w:rPr>
          <w:lang w:val="fr-CA"/>
        </w:rPr>
        <w:t>NAC</w:t>
      </w:r>
      <w:r w:rsidR="00556F3E" w:rsidRPr="00556F3E">
        <w:rPr>
          <w:lang w:val="fr-CA"/>
        </w:rPr>
        <w:t xml:space="preserve"> a élaboré</w:t>
      </w:r>
      <w:r w:rsidR="00F7443D">
        <w:rPr>
          <w:lang w:val="fr-CA"/>
        </w:rPr>
        <w:t xml:space="preserve"> </w:t>
      </w:r>
      <w:hyperlink r:id="rId16" w:history="1">
        <w:r w:rsidR="00F7443D" w:rsidRPr="00F7443D">
          <w:rPr>
            <w:rStyle w:val="Hyperlink"/>
            <w:lang w:val="fr-CA"/>
          </w:rPr>
          <w:t>Destination 2040</w:t>
        </w:r>
      </w:hyperlink>
      <w:r w:rsidR="00F7443D">
        <w:rPr>
          <w:lang w:val="fr-CA"/>
        </w:rPr>
        <w:t>, un plan pour</w:t>
      </w:r>
      <w:r w:rsidR="00556F3E" w:rsidRPr="00556F3E">
        <w:rPr>
          <w:lang w:val="fr-CA"/>
        </w:rPr>
        <w:t xml:space="preserve"> </w:t>
      </w:r>
      <w:r w:rsidR="00F7443D">
        <w:rPr>
          <w:lang w:val="fr-CA"/>
        </w:rPr>
        <w:t>guider</w:t>
      </w:r>
      <w:r w:rsidR="00556F3E" w:rsidRPr="00556F3E">
        <w:rPr>
          <w:lang w:val="fr-CA"/>
        </w:rPr>
        <w:t xml:space="preserve"> son travail.</w:t>
      </w:r>
      <w:r w:rsidR="00DB6BFE" w:rsidRPr="00556F3E">
        <w:rPr>
          <w:lang w:val="fr-CA"/>
        </w:rPr>
        <w:t xml:space="preserve"> </w:t>
      </w:r>
      <w:r w:rsidR="00556F3E" w:rsidRPr="00556F3E">
        <w:rPr>
          <w:lang w:val="fr-CA"/>
        </w:rPr>
        <w:t>L</w:t>
      </w:r>
      <w:r w:rsidR="00F976EE">
        <w:rPr>
          <w:lang w:val="fr-CA"/>
        </w:rPr>
        <w:t>’</w:t>
      </w:r>
      <w:r w:rsidR="00556F3E" w:rsidRPr="00556F3E">
        <w:rPr>
          <w:lang w:val="fr-CA"/>
        </w:rPr>
        <w:t>élaboration de la première série de normes devrait être achevée dans les délais prévus dans le premier plan d</w:t>
      </w:r>
      <w:r w:rsidR="00F976EE">
        <w:rPr>
          <w:lang w:val="fr-CA"/>
        </w:rPr>
        <w:t>’</w:t>
      </w:r>
      <w:r w:rsidR="00556F3E" w:rsidRPr="00556F3E">
        <w:rPr>
          <w:lang w:val="fr-CA"/>
        </w:rPr>
        <w:t>accessibilité du Sénat. Au fur et à mesure que les normes seront publiées, le Sénat les examinera et ajustera son plan pour s</w:t>
      </w:r>
      <w:r w:rsidR="00F976EE">
        <w:rPr>
          <w:lang w:val="fr-CA"/>
        </w:rPr>
        <w:t>’</w:t>
      </w:r>
      <w:r w:rsidR="00556F3E" w:rsidRPr="00556F3E">
        <w:rPr>
          <w:lang w:val="fr-CA"/>
        </w:rPr>
        <w:t>assurer que tout est conforme</w:t>
      </w:r>
      <w:r w:rsidR="00E06093" w:rsidRPr="00020975">
        <w:rPr>
          <w:lang w:val="fr-CA"/>
        </w:rPr>
        <w:t>.</w:t>
      </w:r>
      <w:r w:rsidR="004F577C" w:rsidRPr="00020975">
        <w:rPr>
          <w:lang w:val="fr-CA"/>
        </w:rPr>
        <w:t xml:space="preserve"> </w:t>
      </w:r>
    </w:p>
    <w:p w14:paraId="6B7AE93A" w14:textId="724C3C03" w:rsidR="00FE2995" w:rsidRPr="001A74F1" w:rsidRDefault="00FE2995" w:rsidP="00911C8D">
      <w:pPr>
        <w:pStyle w:val="Heading1"/>
      </w:pPr>
      <w:bookmarkStart w:id="47" w:name="_Toc117886780"/>
      <w:r w:rsidRPr="001A74F1">
        <w:t>Conclusion</w:t>
      </w:r>
      <w:bookmarkEnd w:id="47"/>
      <w:r w:rsidRPr="001A74F1">
        <w:t xml:space="preserve"> </w:t>
      </w:r>
    </w:p>
    <w:p w14:paraId="4C80BA5E" w14:textId="2B54B1CE" w:rsidR="00BD734F" w:rsidRPr="00020975" w:rsidRDefault="000E2814" w:rsidP="001A74F1">
      <w:pPr>
        <w:rPr>
          <w:lang w:val="fr-CA"/>
        </w:rPr>
      </w:pPr>
      <w:r w:rsidRPr="000E2814">
        <w:rPr>
          <w:lang w:val="fr-CA"/>
        </w:rPr>
        <w:t>L</w:t>
      </w:r>
      <w:r w:rsidR="00F976EE">
        <w:rPr>
          <w:lang w:val="fr-CA"/>
        </w:rPr>
        <w:t>’</w:t>
      </w:r>
      <w:r w:rsidRPr="000E2814">
        <w:rPr>
          <w:lang w:val="fr-CA"/>
        </w:rPr>
        <w:t xml:space="preserve">inclusion des </w:t>
      </w:r>
      <w:r w:rsidR="0031675D">
        <w:rPr>
          <w:lang w:val="fr-CA"/>
        </w:rPr>
        <w:t xml:space="preserve">personnes </w:t>
      </w:r>
      <w:r w:rsidR="00AD6B7C">
        <w:rPr>
          <w:lang w:val="fr-CA"/>
        </w:rPr>
        <w:t>en situation de handicap</w:t>
      </w:r>
      <w:r w:rsidRPr="000E2814">
        <w:rPr>
          <w:lang w:val="fr-CA"/>
        </w:rPr>
        <w:t xml:space="preserve"> dans tous les aspects de notre organisation est une priorité absolue pour le Sénat. Le Sénat s</w:t>
      </w:r>
      <w:r w:rsidR="00F976EE">
        <w:rPr>
          <w:lang w:val="fr-CA"/>
        </w:rPr>
        <w:t>’</w:t>
      </w:r>
      <w:r w:rsidRPr="000E2814">
        <w:rPr>
          <w:lang w:val="fr-CA"/>
        </w:rPr>
        <w:t>est engagé à améliorer l</w:t>
      </w:r>
      <w:r w:rsidR="00F976EE">
        <w:rPr>
          <w:lang w:val="fr-CA"/>
        </w:rPr>
        <w:t>’</w:t>
      </w:r>
      <w:r w:rsidRPr="000E2814">
        <w:rPr>
          <w:lang w:val="fr-CA"/>
        </w:rPr>
        <w:t>accessibilité en mettant en œuvre ce plan d</w:t>
      </w:r>
      <w:r w:rsidR="00F976EE">
        <w:rPr>
          <w:lang w:val="fr-CA"/>
        </w:rPr>
        <w:t>’</w:t>
      </w:r>
      <w:r w:rsidRPr="000E2814">
        <w:rPr>
          <w:lang w:val="fr-CA"/>
        </w:rPr>
        <w:t>accessibilité au cours des trois prochaines années. Nous sommes également déterminés à poursuivre l</w:t>
      </w:r>
      <w:r w:rsidR="00F976EE">
        <w:rPr>
          <w:lang w:val="fr-CA"/>
        </w:rPr>
        <w:t>’</w:t>
      </w:r>
      <w:r w:rsidRPr="000E2814">
        <w:rPr>
          <w:lang w:val="fr-CA"/>
        </w:rPr>
        <w:t>examen de nos pratiques et de nos opérations afin de trouver et d</w:t>
      </w:r>
      <w:r w:rsidR="00F976EE">
        <w:rPr>
          <w:lang w:val="fr-CA"/>
        </w:rPr>
        <w:t>’</w:t>
      </w:r>
      <w:r w:rsidRPr="000E2814">
        <w:rPr>
          <w:lang w:val="fr-CA"/>
        </w:rPr>
        <w:t>éliminer les obstacles à l</w:t>
      </w:r>
      <w:r w:rsidR="00F976EE">
        <w:rPr>
          <w:lang w:val="fr-CA"/>
        </w:rPr>
        <w:t>’</w:t>
      </w:r>
      <w:r w:rsidRPr="000E2814">
        <w:rPr>
          <w:lang w:val="fr-CA"/>
        </w:rPr>
        <w:t>accessibilité. Nous comprenons que l</w:t>
      </w:r>
      <w:r w:rsidR="00F976EE">
        <w:rPr>
          <w:lang w:val="fr-CA"/>
        </w:rPr>
        <w:t>’</w:t>
      </w:r>
      <w:r w:rsidRPr="000E2814">
        <w:rPr>
          <w:lang w:val="fr-CA"/>
        </w:rPr>
        <w:t xml:space="preserve">accessibilité est un processus continu, et nous sommes déterminés à nous engager dans ce processus en consultant les </w:t>
      </w:r>
      <w:r w:rsidR="0031675D">
        <w:rPr>
          <w:lang w:val="fr-CA"/>
        </w:rPr>
        <w:t xml:space="preserve">personnes </w:t>
      </w:r>
      <w:r w:rsidR="00AD6B7C">
        <w:rPr>
          <w:lang w:val="fr-CA"/>
        </w:rPr>
        <w:t>en situation de handicap</w:t>
      </w:r>
      <w:r w:rsidRPr="000E2814">
        <w:rPr>
          <w:lang w:val="fr-CA"/>
        </w:rPr>
        <w:t>.</w:t>
      </w:r>
    </w:p>
    <w:sectPr w:rsidR="00BD734F" w:rsidRPr="00020975">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A659" w14:textId="77777777" w:rsidR="00E455E3" w:rsidRDefault="00E455E3">
      <w:pPr>
        <w:spacing w:line="240" w:lineRule="auto"/>
      </w:pPr>
      <w:r>
        <w:separator/>
      </w:r>
    </w:p>
  </w:endnote>
  <w:endnote w:type="continuationSeparator" w:id="0">
    <w:p w14:paraId="692534C5" w14:textId="77777777" w:rsidR="00E455E3" w:rsidRDefault="00E45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2000028F"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2F9E" w14:textId="2FB07AF8" w:rsidR="004023EE" w:rsidRDefault="004023EE" w:rsidP="00A659E4">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2080863595"/>
      <w:docPartObj>
        <w:docPartGallery w:val="Page Numbers (Bottom of Page)"/>
        <w:docPartUnique/>
      </w:docPartObj>
    </w:sdtPr>
    <w:sdtEndPr/>
    <w:sdtContent>
      <w:sdt>
        <w:sdtPr>
          <w:rPr>
            <w:rFonts w:cstheme="minorHAnsi"/>
            <w:sz w:val="20"/>
            <w:szCs w:val="20"/>
          </w:rPr>
          <w:id w:val="-400209326"/>
          <w:docPartObj>
            <w:docPartGallery w:val="Page Numbers (Top of Page)"/>
            <w:docPartUnique/>
          </w:docPartObj>
        </w:sdtPr>
        <w:sdtEndPr/>
        <w:sdtContent>
          <w:p w14:paraId="4FA23565" w14:textId="3CBBB6A7" w:rsidR="00041C8A" w:rsidRPr="00344716" w:rsidRDefault="00344716" w:rsidP="00344716">
            <w:pPr>
              <w:pStyle w:val="Footer"/>
              <w:rPr>
                <w:rFonts w:cstheme="minorHAnsi"/>
                <w:b/>
                <w:sz w:val="20"/>
                <w:szCs w:val="20"/>
              </w:rPr>
            </w:pPr>
            <w:r w:rsidRPr="00344716">
              <w:rPr>
                <w:rFonts w:cstheme="minorHAnsi"/>
                <w:b/>
                <w:sz w:val="20"/>
                <w:szCs w:val="20"/>
              </w:rPr>
              <w:t>Plan d’accessibilité 2023–2025</w:t>
            </w:r>
            <w:r w:rsidR="0041690D">
              <w:rPr>
                <w:rFonts w:cstheme="minorHAnsi"/>
                <w:b/>
                <w:sz w:val="20"/>
                <w:szCs w:val="20"/>
              </w:rPr>
              <w:tab/>
              <w:t xml:space="preserve">               </w:t>
            </w:r>
            <w:r w:rsidR="0041690D">
              <w:rPr>
                <w:rFonts w:cstheme="minorHAnsi"/>
                <w:sz w:val="20"/>
                <w:szCs w:val="20"/>
              </w:rPr>
              <w:tab/>
            </w:r>
            <w:r w:rsidR="0041690D" w:rsidRPr="00A40BEB">
              <w:rPr>
                <w:rFonts w:cstheme="minorHAnsi"/>
                <w:sz w:val="20"/>
                <w:szCs w:val="20"/>
                <w:lang w:val="fr-FR"/>
              </w:rPr>
              <w:t xml:space="preserve">Page </w:t>
            </w:r>
            <w:r w:rsidR="0041690D" w:rsidRPr="00A40BEB">
              <w:rPr>
                <w:rFonts w:cstheme="minorHAnsi"/>
                <w:b/>
                <w:sz w:val="20"/>
                <w:szCs w:val="20"/>
              </w:rPr>
              <w:fldChar w:fldCharType="begin"/>
            </w:r>
            <w:r w:rsidR="0041690D" w:rsidRPr="00A40BEB">
              <w:rPr>
                <w:rFonts w:cstheme="minorHAnsi"/>
                <w:b/>
                <w:sz w:val="20"/>
                <w:szCs w:val="20"/>
              </w:rPr>
              <w:instrText>PAGE  \* Arabic  \* MERGEFORMAT</w:instrText>
            </w:r>
            <w:r w:rsidR="0041690D" w:rsidRPr="00A40BEB">
              <w:rPr>
                <w:rFonts w:cstheme="minorHAnsi"/>
                <w:b/>
                <w:sz w:val="20"/>
                <w:szCs w:val="20"/>
              </w:rPr>
              <w:fldChar w:fldCharType="separate"/>
            </w:r>
            <w:r w:rsidR="0041690D">
              <w:rPr>
                <w:rFonts w:cstheme="minorHAnsi"/>
                <w:b/>
                <w:sz w:val="20"/>
                <w:szCs w:val="20"/>
              </w:rPr>
              <w:t>4</w:t>
            </w:r>
            <w:r w:rsidR="0041690D" w:rsidRPr="00A40BEB">
              <w:rPr>
                <w:rFonts w:cstheme="minorHAnsi"/>
                <w:b/>
                <w:sz w:val="20"/>
                <w:szCs w:val="20"/>
              </w:rPr>
              <w:fldChar w:fldCharType="end"/>
            </w:r>
            <w:r w:rsidR="0041690D">
              <w:rPr>
                <w:rFonts w:cstheme="minorHAnsi"/>
                <w:sz w:val="20"/>
                <w:szCs w:val="20"/>
                <w:lang w:val="fr-FR"/>
              </w:rPr>
              <w:t xml:space="preserve"> </w:t>
            </w:r>
            <w:r>
              <w:rPr>
                <w:rFonts w:cstheme="minorHAnsi"/>
                <w:sz w:val="20"/>
                <w:szCs w:val="20"/>
                <w:lang w:val="fr-FR"/>
              </w:rPr>
              <w:t>de</w:t>
            </w:r>
            <w:r w:rsidR="0041690D" w:rsidRPr="00A40BEB">
              <w:rPr>
                <w:rFonts w:cstheme="minorHAnsi"/>
                <w:sz w:val="20"/>
                <w:szCs w:val="20"/>
                <w:lang w:val="fr-FR"/>
              </w:rPr>
              <w:t xml:space="preserve"> </w:t>
            </w:r>
            <w:r w:rsidR="001F7D21">
              <w:rPr>
                <w:rFonts w:cstheme="minorHAnsi"/>
                <w:b/>
                <w:sz w:val="20"/>
                <w:szCs w:val="20"/>
              </w:rPr>
              <w:t>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A399" w14:textId="77777777" w:rsidR="00E455E3" w:rsidRDefault="00E455E3">
      <w:pPr>
        <w:spacing w:line="240" w:lineRule="auto"/>
      </w:pPr>
      <w:r>
        <w:separator/>
      </w:r>
    </w:p>
  </w:footnote>
  <w:footnote w:type="continuationSeparator" w:id="0">
    <w:p w14:paraId="4C2FA539" w14:textId="77777777" w:rsidR="00E455E3" w:rsidRDefault="00E455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E1C0" w14:textId="300AA2AF" w:rsidR="004023EE" w:rsidRDefault="004023EE" w:rsidP="00A659E4">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7FA"/>
    <w:multiLevelType w:val="multilevel"/>
    <w:tmpl w:val="7352B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A6F69"/>
    <w:multiLevelType w:val="hybridMultilevel"/>
    <w:tmpl w:val="7A8E4072"/>
    <w:lvl w:ilvl="0" w:tplc="65BEA202">
      <w:start w:val="1"/>
      <w:numFmt w:val="decimal"/>
      <w:pStyle w:val="Bodynumberedlist"/>
      <w:lvlText w:val="%1."/>
      <w:lvlJc w:val="left"/>
      <w:pPr>
        <w:ind w:left="717" w:hanging="360"/>
      </w:pPr>
      <w:rPr>
        <w:rFonts w:asciiTheme="minorHAnsi" w:hAnsiTheme="minorHAnsi" w:hint="default"/>
        <w:b w:val="0"/>
        <w:i w:val="0"/>
        <w:caps w:val="0"/>
        <w:strike w:val="0"/>
        <w:dstrike w:val="0"/>
        <w:vanish w:val="0"/>
        <w:color w:val="auto"/>
        <w:sz w:val="2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2296E"/>
    <w:multiLevelType w:val="hybridMultilevel"/>
    <w:tmpl w:val="4EE052F6"/>
    <w:lvl w:ilvl="0" w:tplc="FFFFFFFF">
      <w:start w:val="1"/>
      <w:numFmt w:val="decimal"/>
      <w:lvlText w:val="%1."/>
      <w:lvlJc w:val="left"/>
      <w:pPr>
        <w:ind w:left="717" w:hanging="360"/>
      </w:pPr>
      <w:rPr>
        <w:rFonts w:asciiTheme="minorHAnsi" w:hAnsiTheme="minorHAnsi" w:hint="default"/>
        <w:b w:val="0"/>
        <w:i w:val="0"/>
        <w:caps w:val="0"/>
        <w:strike w:val="0"/>
        <w:dstrike w:val="0"/>
        <w:vanish w:val="0"/>
        <w:color w:val="auto"/>
        <w:sz w:val="26"/>
        <w:vertAlign w:val="baseline"/>
      </w:rPr>
    </w:lvl>
    <w:lvl w:ilvl="1" w:tplc="F28EB9C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7C7FA1"/>
    <w:multiLevelType w:val="hybridMultilevel"/>
    <w:tmpl w:val="006A5832"/>
    <w:lvl w:ilvl="0" w:tplc="FFFFFFFF">
      <w:start w:val="1"/>
      <w:numFmt w:val="decimal"/>
      <w:lvlText w:val="%1."/>
      <w:lvlJc w:val="left"/>
      <w:pPr>
        <w:ind w:left="717" w:hanging="360"/>
      </w:pPr>
      <w:rPr>
        <w:rFonts w:asciiTheme="minorHAnsi" w:hAnsiTheme="minorHAnsi" w:hint="default"/>
        <w:b w:val="0"/>
        <w:i w:val="0"/>
        <w:caps w:val="0"/>
        <w:strike w:val="0"/>
        <w:dstrike w:val="0"/>
        <w:vanish w:val="0"/>
        <w:color w:val="auto"/>
        <w:sz w:val="26"/>
        <w:vertAlign w:val="baseline"/>
      </w:rPr>
    </w:lvl>
    <w:lvl w:ilvl="1" w:tplc="F28EB9C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750176"/>
    <w:multiLevelType w:val="multilevel"/>
    <w:tmpl w:val="82D6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F5DBD"/>
    <w:multiLevelType w:val="hybridMultilevel"/>
    <w:tmpl w:val="5DFE68EC"/>
    <w:lvl w:ilvl="0" w:tplc="CFE07C50">
      <w:start w:val="1"/>
      <w:numFmt w:val="bullet"/>
      <w:pStyle w:val="Body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F511A0"/>
    <w:multiLevelType w:val="multilevel"/>
    <w:tmpl w:val="789428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270" w:hanging="576"/>
      </w:pPr>
      <w:rPr>
        <w:rFonts w:hint="default"/>
      </w:rPr>
    </w:lvl>
    <w:lvl w:ilvl="2">
      <w:start w:val="1"/>
      <w:numFmt w:val="none"/>
      <w:pStyle w:val="Heading3"/>
      <w:lvlText w:val=""/>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879199203">
    <w:abstractNumId w:val="6"/>
  </w:num>
  <w:num w:numId="2" w16cid:durableId="681782225">
    <w:abstractNumId w:val="5"/>
  </w:num>
  <w:num w:numId="3" w16cid:durableId="1513375840">
    <w:abstractNumId w:val="1"/>
  </w:num>
  <w:num w:numId="4" w16cid:durableId="145439349">
    <w:abstractNumId w:val="1"/>
    <w:lvlOverride w:ilvl="0">
      <w:startOverride w:val="1"/>
    </w:lvlOverride>
  </w:num>
  <w:num w:numId="5" w16cid:durableId="582758056">
    <w:abstractNumId w:val="1"/>
    <w:lvlOverride w:ilvl="0">
      <w:startOverride w:val="1"/>
    </w:lvlOverride>
  </w:num>
  <w:num w:numId="6" w16cid:durableId="137917338">
    <w:abstractNumId w:val="1"/>
    <w:lvlOverride w:ilvl="0">
      <w:startOverride w:val="1"/>
    </w:lvlOverride>
  </w:num>
  <w:num w:numId="7" w16cid:durableId="1777865256">
    <w:abstractNumId w:val="1"/>
    <w:lvlOverride w:ilvl="0">
      <w:startOverride w:val="1"/>
    </w:lvlOverride>
  </w:num>
  <w:num w:numId="8" w16cid:durableId="1670936559">
    <w:abstractNumId w:val="1"/>
    <w:lvlOverride w:ilvl="0">
      <w:startOverride w:val="1"/>
    </w:lvlOverride>
  </w:num>
  <w:num w:numId="9" w16cid:durableId="1240870903">
    <w:abstractNumId w:val="1"/>
    <w:lvlOverride w:ilvl="0">
      <w:startOverride w:val="1"/>
    </w:lvlOverride>
  </w:num>
  <w:num w:numId="10" w16cid:durableId="1764491832">
    <w:abstractNumId w:val="1"/>
    <w:lvlOverride w:ilvl="0">
      <w:startOverride w:val="1"/>
    </w:lvlOverride>
  </w:num>
  <w:num w:numId="11" w16cid:durableId="1043217806">
    <w:abstractNumId w:val="1"/>
    <w:lvlOverride w:ilvl="0">
      <w:startOverride w:val="1"/>
    </w:lvlOverride>
  </w:num>
  <w:num w:numId="12" w16cid:durableId="786970528">
    <w:abstractNumId w:val="3"/>
  </w:num>
  <w:num w:numId="13" w16cid:durableId="964703610">
    <w:abstractNumId w:val="1"/>
    <w:lvlOverride w:ilvl="0">
      <w:startOverride w:val="1"/>
    </w:lvlOverride>
  </w:num>
  <w:num w:numId="14" w16cid:durableId="598829594">
    <w:abstractNumId w:val="2"/>
  </w:num>
  <w:num w:numId="15" w16cid:durableId="703601956">
    <w:abstractNumId w:val="0"/>
  </w:num>
  <w:num w:numId="16" w16cid:durableId="11005421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3"/>
    <w:rsid w:val="00001A0B"/>
    <w:rsid w:val="00001E98"/>
    <w:rsid w:val="000033A4"/>
    <w:rsid w:val="0000605F"/>
    <w:rsid w:val="000064EA"/>
    <w:rsid w:val="00007E2F"/>
    <w:rsid w:val="00012645"/>
    <w:rsid w:val="00013931"/>
    <w:rsid w:val="000149A7"/>
    <w:rsid w:val="00016A6A"/>
    <w:rsid w:val="00020975"/>
    <w:rsid w:val="000257E7"/>
    <w:rsid w:val="00030CC7"/>
    <w:rsid w:val="0003325B"/>
    <w:rsid w:val="00035968"/>
    <w:rsid w:val="00035AC3"/>
    <w:rsid w:val="00041529"/>
    <w:rsid w:val="00041C8A"/>
    <w:rsid w:val="00046439"/>
    <w:rsid w:val="0004730A"/>
    <w:rsid w:val="000685DF"/>
    <w:rsid w:val="0007274D"/>
    <w:rsid w:val="00081615"/>
    <w:rsid w:val="00081EA0"/>
    <w:rsid w:val="0008458D"/>
    <w:rsid w:val="0008665F"/>
    <w:rsid w:val="00086A9D"/>
    <w:rsid w:val="000965D4"/>
    <w:rsid w:val="000A3CB4"/>
    <w:rsid w:val="000A5A66"/>
    <w:rsid w:val="000B2E77"/>
    <w:rsid w:val="000B56B1"/>
    <w:rsid w:val="000B7F77"/>
    <w:rsid w:val="000C30DC"/>
    <w:rsid w:val="000C740B"/>
    <w:rsid w:val="000C77B0"/>
    <w:rsid w:val="000D1113"/>
    <w:rsid w:val="000D1CB8"/>
    <w:rsid w:val="000D36DB"/>
    <w:rsid w:val="000D5919"/>
    <w:rsid w:val="000D6CEA"/>
    <w:rsid w:val="000E2814"/>
    <w:rsid w:val="000E50C4"/>
    <w:rsid w:val="000F0D6F"/>
    <w:rsid w:val="000F2211"/>
    <w:rsid w:val="000F3C49"/>
    <w:rsid w:val="000F4D35"/>
    <w:rsid w:val="000F554E"/>
    <w:rsid w:val="000F700A"/>
    <w:rsid w:val="00100D92"/>
    <w:rsid w:val="00102562"/>
    <w:rsid w:val="00104C08"/>
    <w:rsid w:val="00110C53"/>
    <w:rsid w:val="0011352F"/>
    <w:rsid w:val="00120C71"/>
    <w:rsid w:val="00125DB9"/>
    <w:rsid w:val="001361BE"/>
    <w:rsid w:val="00136FC9"/>
    <w:rsid w:val="00141BA9"/>
    <w:rsid w:val="00145686"/>
    <w:rsid w:val="001459E1"/>
    <w:rsid w:val="001526A0"/>
    <w:rsid w:val="00152C90"/>
    <w:rsid w:val="00156232"/>
    <w:rsid w:val="00160F54"/>
    <w:rsid w:val="001650CB"/>
    <w:rsid w:val="00171212"/>
    <w:rsid w:val="00172422"/>
    <w:rsid w:val="00172FD2"/>
    <w:rsid w:val="0017483E"/>
    <w:rsid w:val="00186915"/>
    <w:rsid w:val="00187D79"/>
    <w:rsid w:val="001A0615"/>
    <w:rsid w:val="001A13A1"/>
    <w:rsid w:val="001A3172"/>
    <w:rsid w:val="001A33E1"/>
    <w:rsid w:val="001A5CEC"/>
    <w:rsid w:val="001A74F1"/>
    <w:rsid w:val="001B08B4"/>
    <w:rsid w:val="001B78BE"/>
    <w:rsid w:val="001C5028"/>
    <w:rsid w:val="001C641B"/>
    <w:rsid w:val="001C769E"/>
    <w:rsid w:val="001D6537"/>
    <w:rsid w:val="001E10CD"/>
    <w:rsid w:val="001E271B"/>
    <w:rsid w:val="001F2256"/>
    <w:rsid w:val="001F577A"/>
    <w:rsid w:val="001F7D21"/>
    <w:rsid w:val="0020304F"/>
    <w:rsid w:val="00206AC5"/>
    <w:rsid w:val="00207992"/>
    <w:rsid w:val="00207E44"/>
    <w:rsid w:val="0021047C"/>
    <w:rsid w:val="002110FC"/>
    <w:rsid w:val="0021395C"/>
    <w:rsid w:val="00217A16"/>
    <w:rsid w:val="0023042B"/>
    <w:rsid w:val="00230E53"/>
    <w:rsid w:val="00231654"/>
    <w:rsid w:val="00231DB3"/>
    <w:rsid w:val="00236CC1"/>
    <w:rsid w:val="00241AB1"/>
    <w:rsid w:val="00244ACB"/>
    <w:rsid w:val="0024680D"/>
    <w:rsid w:val="00246F16"/>
    <w:rsid w:val="00246F3C"/>
    <w:rsid w:val="00252600"/>
    <w:rsid w:val="0025305B"/>
    <w:rsid w:val="00257C5F"/>
    <w:rsid w:val="00263C0F"/>
    <w:rsid w:val="002728A8"/>
    <w:rsid w:val="00282B60"/>
    <w:rsid w:val="002871A2"/>
    <w:rsid w:val="00292083"/>
    <w:rsid w:val="00297D8B"/>
    <w:rsid w:val="002A17F9"/>
    <w:rsid w:val="002A352D"/>
    <w:rsid w:val="002B2505"/>
    <w:rsid w:val="002B41A6"/>
    <w:rsid w:val="002B6600"/>
    <w:rsid w:val="002C0391"/>
    <w:rsid w:val="002C59F7"/>
    <w:rsid w:val="002D6AFE"/>
    <w:rsid w:val="002E1B30"/>
    <w:rsid w:val="002E3C10"/>
    <w:rsid w:val="002E427B"/>
    <w:rsid w:val="002E60AB"/>
    <w:rsid w:val="002E7A0D"/>
    <w:rsid w:val="002F0B87"/>
    <w:rsid w:val="002F0C98"/>
    <w:rsid w:val="00300D4C"/>
    <w:rsid w:val="00312385"/>
    <w:rsid w:val="003162A5"/>
    <w:rsid w:val="0031675D"/>
    <w:rsid w:val="00320D02"/>
    <w:rsid w:val="00321143"/>
    <w:rsid w:val="00331E79"/>
    <w:rsid w:val="00331FCC"/>
    <w:rsid w:val="0033428D"/>
    <w:rsid w:val="00344716"/>
    <w:rsid w:val="00354FF8"/>
    <w:rsid w:val="003577B8"/>
    <w:rsid w:val="00361C3B"/>
    <w:rsid w:val="003715FA"/>
    <w:rsid w:val="00374AAE"/>
    <w:rsid w:val="00380C5C"/>
    <w:rsid w:val="00381B4F"/>
    <w:rsid w:val="003908A1"/>
    <w:rsid w:val="00394F46"/>
    <w:rsid w:val="003A017E"/>
    <w:rsid w:val="003A20FD"/>
    <w:rsid w:val="003B002D"/>
    <w:rsid w:val="003B01FD"/>
    <w:rsid w:val="003B4454"/>
    <w:rsid w:val="003B6F48"/>
    <w:rsid w:val="003B7375"/>
    <w:rsid w:val="003C72AE"/>
    <w:rsid w:val="003C7F2B"/>
    <w:rsid w:val="003D491E"/>
    <w:rsid w:val="003D4C83"/>
    <w:rsid w:val="003D5AE2"/>
    <w:rsid w:val="003D6FEB"/>
    <w:rsid w:val="003D78CF"/>
    <w:rsid w:val="003E0E06"/>
    <w:rsid w:val="003E2950"/>
    <w:rsid w:val="003F22C4"/>
    <w:rsid w:val="003F6CAE"/>
    <w:rsid w:val="003F764C"/>
    <w:rsid w:val="00400194"/>
    <w:rsid w:val="00400A4E"/>
    <w:rsid w:val="00401852"/>
    <w:rsid w:val="004023EE"/>
    <w:rsid w:val="00404BE6"/>
    <w:rsid w:val="00410F90"/>
    <w:rsid w:val="00411235"/>
    <w:rsid w:val="004155FC"/>
    <w:rsid w:val="0041690D"/>
    <w:rsid w:val="00430EFC"/>
    <w:rsid w:val="004461C7"/>
    <w:rsid w:val="0045262F"/>
    <w:rsid w:val="00454448"/>
    <w:rsid w:val="00454E7A"/>
    <w:rsid w:val="0046141D"/>
    <w:rsid w:val="00461D3A"/>
    <w:rsid w:val="00462186"/>
    <w:rsid w:val="004662EF"/>
    <w:rsid w:val="00467545"/>
    <w:rsid w:val="004705CE"/>
    <w:rsid w:val="00472157"/>
    <w:rsid w:val="00474E3C"/>
    <w:rsid w:val="00477D3B"/>
    <w:rsid w:val="004812F1"/>
    <w:rsid w:val="00481FD5"/>
    <w:rsid w:val="00482969"/>
    <w:rsid w:val="004851B0"/>
    <w:rsid w:val="00485C9C"/>
    <w:rsid w:val="00491816"/>
    <w:rsid w:val="00495E92"/>
    <w:rsid w:val="004A0993"/>
    <w:rsid w:val="004A23D0"/>
    <w:rsid w:val="004A4195"/>
    <w:rsid w:val="004B3D00"/>
    <w:rsid w:val="004B4C95"/>
    <w:rsid w:val="004C72F3"/>
    <w:rsid w:val="004D0AAC"/>
    <w:rsid w:val="004D3F9A"/>
    <w:rsid w:val="004D792C"/>
    <w:rsid w:val="004E371B"/>
    <w:rsid w:val="004E41AF"/>
    <w:rsid w:val="004F577C"/>
    <w:rsid w:val="00500F2D"/>
    <w:rsid w:val="00503143"/>
    <w:rsid w:val="00506557"/>
    <w:rsid w:val="00510A4F"/>
    <w:rsid w:val="00510C78"/>
    <w:rsid w:val="005126F1"/>
    <w:rsid w:val="00521FB5"/>
    <w:rsid w:val="005236BB"/>
    <w:rsid w:val="00532311"/>
    <w:rsid w:val="0053590F"/>
    <w:rsid w:val="00542748"/>
    <w:rsid w:val="00544CF0"/>
    <w:rsid w:val="005542AE"/>
    <w:rsid w:val="00556F3E"/>
    <w:rsid w:val="005630A8"/>
    <w:rsid w:val="00563892"/>
    <w:rsid w:val="00563DC7"/>
    <w:rsid w:val="0056426C"/>
    <w:rsid w:val="005708C3"/>
    <w:rsid w:val="00581722"/>
    <w:rsid w:val="005847D7"/>
    <w:rsid w:val="005855D4"/>
    <w:rsid w:val="00591AEC"/>
    <w:rsid w:val="005A146A"/>
    <w:rsid w:val="005A260C"/>
    <w:rsid w:val="005A2BB4"/>
    <w:rsid w:val="005A6F75"/>
    <w:rsid w:val="005B2D74"/>
    <w:rsid w:val="005B4F51"/>
    <w:rsid w:val="005B7A5E"/>
    <w:rsid w:val="005C1F6F"/>
    <w:rsid w:val="005C681D"/>
    <w:rsid w:val="005C6916"/>
    <w:rsid w:val="005C7675"/>
    <w:rsid w:val="005D6849"/>
    <w:rsid w:val="005D6D32"/>
    <w:rsid w:val="005D760D"/>
    <w:rsid w:val="005E334F"/>
    <w:rsid w:val="005E42AC"/>
    <w:rsid w:val="005E7B63"/>
    <w:rsid w:val="005F021D"/>
    <w:rsid w:val="005F35A5"/>
    <w:rsid w:val="00601AD2"/>
    <w:rsid w:val="006027AE"/>
    <w:rsid w:val="00612595"/>
    <w:rsid w:val="00614386"/>
    <w:rsid w:val="00621500"/>
    <w:rsid w:val="00622A5F"/>
    <w:rsid w:val="00624B8F"/>
    <w:rsid w:val="0062532A"/>
    <w:rsid w:val="0063752B"/>
    <w:rsid w:val="00637A1D"/>
    <w:rsid w:val="00643074"/>
    <w:rsid w:val="00643CE3"/>
    <w:rsid w:val="006551F3"/>
    <w:rsid w:val="006553DA"/>
    <w:rsid w:val="00656B9D"/>
    <w:rsid w:val="00657968"/>
    <w:rsid w:val="00660662"/>
    <w:rsid w:val="006713C4"/>
    <w:rsid w:val="00671F59"/>
    <w:rsid w:val="006741BB"/>
    <w:rsid w:val="00680000"/>
    <w:rsid w:val="006801CC"/>
    <w:rsid w:val="00683B45"/>
    <w:rsid w:val="00684EA2"/>
    <w:rsid w:val="006874C9"/>
    <w:rsid w:val="006877EA"/>
    <w:rsid w:val="006921F5"/>
    <w:rsid w:val="006925F9"/>
    <w:rsid w:val="00694C8C"/>
    <w:rsid w:val="006B0C9E"/>
    <w:rsid w:val="006C04ED"/>
    <w:rsid w:val="006D590C"/>
    <w:rsid w:val="006D70F1"/>
    <w:rsid w:val="006E36D9"/>
    <w:rsid w:val="006E5455"/>
    <w:rsid w:val="006E611B"/>
    <w:rsid w:val="006E7B9A"/>
    <w:rsid w:val="006F22FF"/>
    <w:rsid w:val="006F6129"/>
    <w:rsid w:val="006F6268"/>
    <w:rsid w:val="0070022E"/>
    <w:rsid w:val="00702BDC"/>
    <w:rsid w:val="007049F0"/>
    <w:rsid w:val="00707ABA"/>
    <w:rsid w:val="00712049"/>
    <w:rsid w:val="007127CE"/>
    <w:rsid w:val="007245F2"/>
    <w:rsid w:val="00725818"/>
    <w:rsid w:val="007328EE"/>
    <w:rsid w:val="00734D0C"/>
    <w:rsid w:val="0074479B"/>
    <w:rsid w:val="00744F8B"/>
    <w:rsid w:val="00747C8E"/>
    <w:rsid w:val="00754886"/>
    <w:rsid w:val="007558DF"/>
    <w:rsid w:val="007565A7"/>
    <w:rsid w:val="0075783B"/>
    <w:rsid w:val="00757E70"/>
    <w:rsid w:val="00761C76"/>
    <w:rsid w:val="00764762"/>
    <w:rsid w:val="00764AE7"/>
    <w:rsid w:val="00774F8C"/>
    <w:rsid w:val="007866BA"/>
    <w:rsid w:val="007934D8"/>
    <w:rsid w:val="00793A50"/>
    <w:rsid w:val="007947B4"/>
    <w:rsid w:val="007962F0"/>
    <w:rsid w:val="007976E0"/>
    <w:rsid w:val="007A3B69"/>
    <w:rsid w:val="007A3E2A"/>
    <w:rsid w:val="007B353F"/>
    <w:rsid w:val="007B4F24"/>
    <w:rsid w:val="007B5143"/>
    <w:rsid w:val="007B5A2F"/>
    <w:rsid w:val="007B6EAA"/>
    <w:rsid w:val="007B72FF"/>
    <w:rsid w:val="007C0A9A"/>
    <w:rsid w:val="007C3038"/>
    <w:rsid w:val="007C532D"/>
    <w:rsid w:val="007C75D3"/>
    <w:rsid w:val="007D0586"/>
    <w:rsid w:val="007D7F1C"/>
    <w:rsid w:val="007E120B"/>
    <w:rsid w:val="007E74E5"/>
    <w:rsid w:val="007F1B57"/>
    <w:rsid w:val="007F2BF7"/>
    <w:rsid w:val="007F43AB"/>
    <w:rsid w:val="007F4557"/>
    <w:rsid w:val="007F5A36"/>
    <w:rsid w:val="00800716"/>
    <w:rsid w:val="008025DC"/>
    <w:rsid w:val="00807E3B"/>
    <w:rsid w:val="008161E8"/>
    <w:rsid w:val="008364B0"/>
    <w:rsid w:val="00841195"/>
    <w:rsid w:val="00844CDF"/>
    <w:rsid w:val="00847FD7"/>
    <w:rsid w:val="00851F9D"/>
    <w:rsid w:val="00852D4D"/>
    <w:rsid w:val="00853DC8"/>
    <w:rsid w:val="008540AD"/>
    <w:rsid w:val="00854D10"/>
    <w:rsid w:val="008554CC"/>
    <w:rsid w:val="008622B8"/>
    <w:rsid w:val="00862A7D"/>
    <w:rsid w:val="00865D33"/>
    <w:rsid w:val="008713BF"/>
    <w:rsid w:val="00872D62"/>
    <w:rsid w:val="00877311"/>
    <w:rsid w:val="00885E2D"/>
    <w:rsid w:val="008875D6"/>
    <w:rsid w:val="00890503"/>
    <w:rsid w:val="008923DA"/>
    <w:rsid w:val="00892B4B"/>
    <w:rsid w:val="0089327E"/>
    <w:rsid w:val="00894640"/>
    <w:rsid w:val="00895339"/>
    <w:rsid w:val="00895B04"/>
    <w:rsid w:val="008965EC"/>
    <w:rsid w:val="008A031E"/>
    <w:rsid w:val="008A08E9"/>
    <w:rsid w:val="008A4BEC"/>
    <w:rsid w:val="008B2240"/>
    <w:rsid w:val="008B2A19"/>
    <w:rsid w:val="008B3564"/>
    <w:rsid w:val="008B436F"/>
    <w:rsid w:val="008B7A14"/>
    <w:rsid w:val="008C3ADF"/>
    <w:rsid w:val="008C54F7"/>
    <w:rsid w:val="008C5533"/>
    <w:rsid w:val="008D05D9"/>
    <w:rsid w:val="008D0BF7"/>
    <w:rsid w:val="008D13F9"/>
    <w:rsid w:val="008D1556"/>
    <w:rsid w:val="008D6A29"/>
    <w:rsid w:val="008E0961"/>
    <w:rsid w:val="008E1BE6"/>
    <w:rsid w:val="008E4873"/>
    <w:rsid w:val="008F0EE1"/>
    <w:rsid w:val="008F3958"/>
    <w:rsid w:val="008F66AA"/>
    <w:rsid w:val="008F7F47"/>
    <w:rsid w:val="00904A98"/>
    <w:rsid w:val="00906732"/>
    <w:rsid w:val="0091037E"/>
    <w:rsid w:val="00911C8D"/>
    <w:rsid w:val="00914642"/>
    <w:rsid w:val="00914D51"/>
    <w:rsid w:val="00915963"/>
    <w:rsid w:val="00916261"/>
    <w:rsid w:val="00920BF1"/>
    <w:rsid w:val="0092149F"/>
    <w:rsid w:val="00921C9A"/>
    <w:rsid w:val="009244AB"/>
    <w:rsid w:val="0092658E"/>
    <w:rsid w:val="00926664"/>
    <w:rsid w:val="009278DE"/>
    <w:rsid w:val="00930791"/>
    <w:rsid w:val="00930A61"/>
    <w:rsid w:val="00931950"/>
    <w:rsid w:val="0093199D"/>
    <w:rsid w:val="0093232E"/>
    <w:rsid w:val="009368BD"/>
    <w:rsid w:val="009375EF"/>
    <w:rsid w:val="00943564"/>
    <w:rsid w:val="009444B1"/>
    <w:rsid w:val="0094457E"/>
    <w:rsid w:val="00951A4C"/>
    <w:rsid w:val="00952BFE"/>
    <w:rsid w:val="009558BB"/>
    <w:rsid w:val="0095718F"/>
    <w:rsid w:val="00962770"/>
    <w:rsid w:val="009660F1"/>
    <w:rsid w:val="00970201"/>
    <w:rsid w:val="009734D5"/>
    <w:rsid w:val="0097446A"/>
    <w:rsid w:val="00974CAC"/>
    <w:rsid w:val="00980F0F"/>
    <w:rsid w:val="00992076"/>
    <w:rsid w:val="0099423F"/>
    <w:rsid w:val="00995A5F"/>
    <w:rsid w:val="009A3B03"/>
    <w:rsid w:val="009B0480"/>
    <w:rsid w:val="009B0752"/>
    <w:rsid w:val="009B1CB2"/>
    <w:rsid w:val="009B70E8"/>
    <w:rsid w:val="009BD9B8"/>
    <w:rsid w:val="009C0B8F"/>
    <w:rsid w:val="009C1122"/>
    <w:rsid w:val="009C1DF5"/>
    <w:rsid w:val="009C316D"/>
    <w:rsid w:val="009C48A6"/>
    <w:rsid w:val="009C6BC8"/>
    <w:rsid w:val="009C7A6C"/>
    <w:rsid w:val="009C7DE3"/>
    <w:rsid w:val="009D2025"/>
    <w:rsid w:val="009D5104"/>
    <w:rsid w:val="009D7D27"/>
    <w:rsid w:val="009E66DB"/>
    <w:rsid w:val="009F1333"/>
    <w:rsid w:val="009F67D2"/>
    <w:rsid w:val="009F71C9"/>
    <w:rsid w:val="009F734C"/>
    <w:rsid w:val="009F7BE0"/>
    <w:rsid w:val="009F7E3F"/>
    <w:rsid w:val="00A012F5"/>
    <w:rsid w:val="00A01782"/>
    <w:rsid w:val="00A03541"/>
    <w:rsid w:val="00A03C53"/>
    <w:rsid w:val="00A0494F"/>
    <w:rsid w:val="00A06582"/>
    <w:rsid w:val="00A08B37"/>
    <w:rsid w:val="00A13B23"/>
    <w:rsid w:val="00A21863"/>
    <w:rsid w:val="00A24358"/>
    <w:rsid w:val="00A35669"/>
    <w:rsid w:val="00A50C4A"/>
    <w:rsid w:val="00A52132"/>
    <w:rsid w:val="00A52764"/>
    <w:rsid w:val="00A556B9"/>
    <w:rsid w:val="00A600C3"/>
    <w:rsid w:val="00A60642"/>
    <w:rsid w:val="00A63B73"/>
    <w:rsid w:val="00A6463E"/>
    <w:rsid w:val="00A652D8"/>
    <w:rsid w:val="00A659E4"/>
    <w:rsid w:val="00A662F4"/>
    <w:rsid w:val="00A72C64"/>
    <w:rsid w:val="00A73D7A"/>
    <w:rsid w:val="00A74F12"/>
    <w:rsid w:val="00A75036"/>
    <w:rsid w:val="00A754E9"/>
    <w:rsid w:val="00A77D37"/>
    <w:rsid w:val="00A83E30"/>
    <w:rsid w:val="00A858EB"/>
    <w:rsid w:val="00A87A4B"/>
    <w:rsid w:val="00A91499"/>
    <w:rsid w:val="00AA1FC0"/>
    <w:rsid w:val="00AA2378"/>
    <w:rsid w:val="00AA4E07"/>
    <w:rsid w:val="00AB14A4"/>
    <w:rsid w:val="00AB1A8F"/>
    <w:rsid w:val="00AB1D96"/>
    <w:rsid w:val="00AB39A1"/>
    <w:rsid w:val="00AB6294"/>
    <w:rsid w:val="00AC0C36"/>
    <w:rsid w:val="00AC11B4"/>
    <w:rsid w:val="00AC22CA"/>
    <w:rsid w:val="00AC2852"/>
    <w:rsid w:val="00AC2A17"/>
    <w:rsid w:val="00AC2C4F"/>
    <w:rsid w:val="00AC3293"/>
    <w:rsid w:val="00AC5013"/>
    <w:rsid w:val="00AD1397"/>
    <w:rsid w:val="00AD23E1"/>
    <w:rsid w:val="00AD65CE"/>
    <w:rsid w:val="00AD6B7C"/>
    <w:rsid w:val="00AD7745"/>
    <w:rsid w:val="00AF1AB2"/>
    <w:rsid w:val="00AF3383"/>
    <w:rsid w:val="00AF4400"/>
    <w:rsid w:val="00AF6F3C"/>
    <w:rsid w:val="00B02AF7"/>
    <w:rsid w:val="00B0372B"/>
    <w:rsid w:val="00B07BEE"/>
    <w:rsid w:val="00B13846"/>
    <w:rsid w:val="00B14589"/>
    <w:rsid w:val="00B15D25"/>
    <w:rsid w:val="00B21A1D"/>
    <w:rsid w:val="00B23563"/>
    <w:rsid w:val="00B271DD"/>
    <w:rsid w:val="00B32424"/>
    <w:rsid w:val="00B35C60"/>
    <w:rsid w:val="00B35CA3"/>
    <w:rsid w:val="00B445EE"/>
    <w:rsid w:val="00B51D1C"/>
    <w:rsid w:val="00B53B85"/>
    <w:rsid w:val="00B55FD6"/>
    <w:rsid w:val="00B568C1"/>
    <w:rsid w:val="00B64599"/>
    <w:rsid w:val="00B65E6E"/>
    <w:rsid w:val="00B65FC0"/>
    <w:rsid w:val="00B66546"/>
    <w:rsid w:val="00B7085A"/>
    <w:rsid w:val="00B83FE5"/>
    <w:rsid w:val="00B849EF"/>
    <w:rsid w:val="00B85B8E"/>
    <w:rsid w:val="00B8689A"/>
    <w:rsid w:val="00B922D6"/>
    <w:rsid w:val="00B94B39"/>
    <w:rsid w:val="00BA07EA"/>
    <w:rsid w:val="00BA5F5B"/>
    <w:rsid w:val="00BA6267"/>
    <w:rsid w:val="00BB13FC"/>
    <w:rsid w:val="00BC04B6"/>
    <w:rsid w:val="00BC2F8A"/>
    <w:rsid w:val="00BC642B"/>
    <w:rsid w:val="00BD00BD"/>
    <w:rsid w:val="00BD11EE"/>
    <w:rsid w:val="00BD260A"/>
    <w:rsid w:val="00BD28E1"/>
    <w:rsid w:val="00BD35DB"/>
    <w:rsid w:val="00BD3AB0"/>
    <w:rsid w:val="00BD6E9E"/>
    <w:rsid w:val="00BD734F"/>
    <w:rsid w:val="00BE55AF"/>
    <w:rsid w:val="00BE74F0"/>
    <w:rsid w:val="00C00E9A"/>
    <w:rsid w:val="00C1189A"/>
    <w:rsid w:val="00C14A0F"/>
    <w:rsid w:val="00C154BD"/>
    <w:rsid w:val="00C15A7B"/>
    <w:rsid w:val="00C15B19"/>
    <w:rsid w:val="00C178B4"/>
    <w:rsid w:val="00C217C5"/>
    <w:rsid w:val="00C26F5B"/>
    <w:rsid w:val="00C3113B"/>
    <w:rsid w:val="00C3601F"/>
    <w:rsid w:val="00C37587"/>
    <w:rsid w:val="00C43DE0"/>
    <w:rsid w:val="00C56DCE"/>
    <w:rsid w:val="00C61D91"/>
    <w:rsid w:val="00C63706"/>
    <w:rsid w:val="00C63BE5"/>
    <w:rsid w:val="00C70C17"/>
    <w:rsid w:val="00C86E1D"/>
    <w:rsid w:val="00C9299F"/>
    <w:rsid w:val="00C9432F"/>
    <w:rsid w:val="00C972E7"/>
    <w:rsid w:val="00CA1E6F"/>
    <w:rsid w:val="00CA4944"/>
    <w:rsid w:val="00CB6C8F"/>
    <w:rsid w:val="00CC4193"/>
    <w:rsid w:val="00CC5050"/>
    <w:rsid w:val="00CC5C1E"/>
    <w:rsid w:val="00CC7E5A"/>
    <w:rsid w:val="00CD6ACF"/>
    <w:rsid w:val="00CE7E44"/>
    <w:rsid w:val="00CF0D48"/>
    <w:rsid w:val="00CF1707"/>
    <w:rsid w:val="00CF3778"/>
    <w:rsid w:val="00CF391F"/>
    <w:rsid w:val="00CF79C8"/>
    <w:rsid w:val="00D018B7"/>
    <w:rsid w:val="00D024E8"/>
    <w:rsid w:val="00D032E6"/>
    <w:rsid w:val="00D04EDC"/>
    <w:rsid w:val="00D05E31"/>
    <w:rsid w:val="00D113C8"/>
    <w:rsid w:val="00D1549A"/>
    <w:rsid w:val="00D162BF"/>
    <w:rsid w:val="00D175E2"/>
    <w:rsid w:val="00D23B09"/>
    <w:rsid w:val="00D32468"/>
    <w:rsid w:val="00D32BC7"/>
    <w:rsid w:val="00D46041"/>
    <w:rsid w:val="00D505E3"/>
    <w:rsid w:val="00D5324E"/>
    <w:rsid w:val="00D537E8"/>
    <w:rsid w:val="00D570FF"/>
    <w:rsid w:val="00D61FD0"/>
    <w:rsid w:val="00D62D55"/>
    <w:rsid w:val="00D67652"/>
    <w:rsid w:val="00D70915"/>
    <w:rsid w:val="00D7129B"/>
    <w:rsid w:val="00D73618"/>
    <w:rsid w:val="00D74FE4"/>
    <w:rsid w:val="00D81123"/>
    <w:rsid w:val="00D81AF9"/>
    <w:rsid w:val="00D96457"/>
    <w:rsid w:val="00D978FA"/>
    <w:rsid w:val="00DA1B1C"/>
    <w:rsid w:val="00DA2457"/>
    <w:rsid w:val="00DA732A"/>
    <w:rsid w:val="00DB18CE"/>
    <w:rsid w:val="00DB21DB"/>
    <w:rsid w:val="00DB6BFE"/>
    <w:rsid w:val="00DC01FA"/>
    <w:rsid w:val="00DC6A95"/>
    <w:rsid w:val="00DD02A7"/>
    <w:rsid w:val="00DD1E4E"/>
    <w:rsid w:val="00DD1FF6"/>
    <w:rsid w:val="00DD33CA"/>
    <w:rsid w:val="00DD3551"/>
    <w:rsid w:val="00DD4C34"/>
    <w:rsid w:val="00DD5F05"/>
    <w:rsid w:val="00DD70F2"/>
    <w:rsid w:val="00DDC17C"/>
    <w:rsid w:val="00DE47C9"/>
    <w:rsid w:val="00DE4B46"/>
    <w:rsid w:val="00DE6851"/>
    <w:rsid w:val="00DF05FB"/>
    <w:rsid w:val="00DF5FF7"/>
    <w:rsid w:val="00DF7755"/>
    <w:rsid w:val="00E00FFA"/>
    <w:rsid w:val="00E04C87"/>
    <w:rsid w:val="00E05438"/>
    <w:rsid w:val="00E05E04"/>
    <w:rsid w:val="00E06093"/>
    <w:rsid w:val="00E11777"/>
    <w:rsid w:val="00E121C0"/>
    <w:rsid w:val="00E1536E"/>
    <w:rsid w:val="00E17632"/>
    <w:rsid w:val="00E203B1"/>
    <w:rsid w:val="00E247BB"/>
    <w:rsid w:val="00E32984"/>
    <w:rsid w:val="00E33F35"/>
    <w:rsid w:val="00E345CF"/>
    <w:rsid w:val="00E36420"/>
    <w:rsid w:val="00E413A5"/>
    <w:rsid w:val="00E42F9D"/>
    <w:rsid w:val="00E455E3"/>
    <w:rsid w:val="00E559CB"/>
    <w:rsid w:val="00E55B4C"/>
    <w:rsid w:val="00E5795C"/>
    <w:rsid w:val="00E60D0E"/>
    <w:rsid w:val="00E611A1"/>
    <w:rsid w:val="00E72048"/>
    <w:rsid w:val="00E73E24"/>
    <w:rsid w:val="00E80C21"/>
    <w:rsid w:val="00E82B16"/>
    <w:rsid w:val="00E87761"/>
    <w:rsid w:val="00E9130C"/>
    <w:rsid w:val="00E93396"/>
    <w:rsid w:val="00EA00CF"/>
    <w:rsid w:val="00EA0A6D"/>
    <w:rsid w:val="00EA68C3"/>
    <w:rsid w:val="00EB4908"/>
    <w:rsid w:val="00EB4CE3"/>
    <w:rsid w:val="00EB7D06"/>
    <w:rsid w:val="00EC0CD0"/>
    <w:rsid w:val="00EC22FD"/>
    <w:rsid w:val="00EC446A"/>
    <w:rsid w:val="00EC4CD8"/>
    <w:rsid w:val="00EC71AF"/>
    <w:rsid w:val="00EC77C3"/>
    <w:rsid w:val="00ED3109"/>
    <w:rsid w:val="00ED44C2"/>
    <w:rsid w:val="00ED5B60"/>
    <w:rsid w:val="00ED7289"/>
    <w:rsid w:val="00EE22E5"/>
    <w:rsid w:val="00EE32BF"/>
    <w:rsid w:val="00EF2A63"/>
    <w:rsid w:val="00EF3FBA"/>
    <w:rsid w:val="00EF65A6"/>
    <w:rsid w:val="00F13FF5"/>
    <w:rsid w:val="00F16368"/>
    <w:rsid w:val="00F17F27"/>
    <w:rsid w:val="00F2006F"/>
    <w:rsid w:val="00F20B25"/>
    <w:rsid w:val="00F21AF5"/>
    <w:rsid w:val="00F21D19"/>
    <w:rsid w:val="00F26026"/>
    <w:rsid w:val="00F27131"/>
    <w:rsid w:val="00F3114D"/>
    <w:rsid w:val="00F36662"/>
    <w:rsid w:val="00F46E0D"/>
    <w:rsid w:val="00F47AB6"/>
    <w:rsid w:val="00F5148D"/>
    <w:rsid w:val="00F516D8"/>
    <w:rsid w:val="00F52D35"/>
    <w:rsid w:val="00F53D05"/>
    <w:rsid w:val="00F551E3"/>
    <w:rsid w:val="00F57477"/>
    <w:rsid w:val="00F64628"/>
    <w:rsid w:val="00F71BC5"/>
    <w:rsid w:val="00F71F0F"/>
    <w:rsid w:val="00F7443D"/>
    <w:rsid w:val="00F75C2A"/>
    <w:rsid w:val="00F8363E"/>
    <w:rsid w:val="00F84852"/>
    <w:rsid w:val="00F867F8"/>
    <w:rsid w:val="00F87EA1"/>
    <w:rsid w:val="00F91D78"/>
    <w:rsid w:val="00F9541A"/>
    <w:rsid w:val="00F95B98"/>
    <w:rsid w:val="00F976EE"/>
    <w:rsid w:val="00FA1BBF"/>
    <w:rsid w:val="00FA2184"/>
    <w:rsid w:val="00FA26AC"/>
    <w:rsid w:val="00FA3120"/>
    <w:rsid w:val="00FA6886"/>
    <w:rsid w:val="00FB129F"/>
    <w:rsid w:val="00FB34FB"/>
    <w:rsid w:val="00FB449F"/>
    <w:rsid w:val="00FB4D90"/>
    <w:rsid w:val="00FB57AD"/>
    <w:rsid w:val="00FB5899"/>
    <w:rsid w:val="00FC0073"/>
    <w:rsid w:val="00FC19F5"/>
    <w:rsid w:val="00FC5096"/>
    <w:rsid w:val="00FC7181"/>
    <w:rsid w:val="00FD45F4"/>
    <w:rsid w:val="00FD4C4D"/>
    <w:rsid w:val="00FD6B1C"/>
    <w:rsid w:val="00FE05AF"/>
    <w:rsid w:val="00FE1FF4"/>
    <w:rsid w:val="00FE2995"/>
    <w:rsid w:val="00FF5F9F"/>
    <w:rsid w:val="00FF6DBE"/>
    <w:rsid w:val="010418DB"/>
    <w:rsid w:val="011D9B44"/>
    <w:rsid w:val="01368E00"/>
    <w:rsid w:val="013C2939"/>
    <w:rsid w:val="01B98B02"/>
    <w:rsid w:val="01DA8CE4"/>
    <w:rsid w:val="02176830"/>
    <w:rsid w:val="02392DDE"/>
    <w:rsid w:val="02A435A4"/>
    <w:rsid w:val="02AE9880"/>
    <w:rsid w:val="02B3B2EC"/>
    <w:rsid w:val="02B6CADA"/>
    <w:rsid w:val="02BBECC4"/>
    <w:rsid w:val="02C239B9"/>
    <w:rsid w:val="03194328"/>
    <w:rsid w:val="032D4E2C"/>
    <w:rsid w:val="034E4F8A"/>
    <w:rsid w:val="03A282C4"/>
    <w:rsid w:val="03C8BFAE"/>
    <w:rsid w:val="040FC59B"/>
    <w:rsid w:val="0429D74D"/>
    <w:rsid w:val="043BCF58"/>
    <w:rsid w:val="04C6CA14"/>
    <w:rsid w:val="04FBECE0"/>
    <w:rsid w:val="05364EFD"/>
    <w:rsid w:val="054FEF04"/>
    <w:rsid w:val="05F35933"/>
    <w:rsid w:val="066CDC74"/>
    <w:rsid w:val="06893965"/>
    <w:rsid w:val="06943695"/>
    <w:rsid w:val="069A751E"/>
    <w:rsid w:val="06C8F448"/>
    <w:rsid w:val="06FAE3B7"/>
    <w:rsid w:val="071F336B"/>
    <w:rsid w:val="072A8A87"/>
    <w:rsid w:val="0733DAA3"/>
    <w:rsid w:val="0740183C"/>
    <w:rsid w:val="07680F85"/>
    <w:rsid w:val="07CBCB87"/>
    <w:rsid w:val="07DECC77"/>
    <w:rsid w:val="07E6D908"/>
    <w:rsid w:val="08047220"/>
    <w:rsid w:val="083238FC"/>
    <w:rsid w:val="0833E2E3"/>
    <w:rsid w:val="08649C6A"/>
    <w:rsid w:val="086647D4"/>
    <w:rsid w:val="0896293A"/>
    <w:rsid w:val="0896F2E4"/>
    <w:rsid w:val="08AC1F10"/>
    <w:rsid w:val="08AC9E4A"/>
    <w:rsid w:val="090589D8"/>
    <w:rsid w:val="093572F7"/>
    <w:rsid w:val="0999974A"/>
    <w:rsid w:val="09A46065"/>
    <w:rsid w:val="09ECBFE2"/>
    <w:rsid w:val="09F2B6C5"/>
    <w:rsid w:val="0A0A3A62"/>
    <w:rsid w:val="0A1B8120"/>
    <w:rsid w:val="0A3322BC"/>
    <w:rsid w:val="0A54615F"/>
    <w:rsid w:val="0A623328"/>
    <w:rsid w:val="0A82B3D7"/>
    <w:rsid w:val="0A84E6F6"/>
    <w:rsid w:val="0A92EBB9"/>
    <w:rsid w:val="0AAD2CF2"/>
    <w:rsid w:val="0AD4378C"/>
    <w:rsid w:val="0AFC4FD2"/>
    <w:rsid w:val="0B4D086D"/>
    <w:rsid w:val="0B6A66E3"/>
    <w:rsid w:val="0B842881"/>
    <w:rsid w:val="0B90484C"/>
    <w:rsid w:val="0B997E52"/>
    <w:rsid w:val="0B9C3D2C"/>
    <w:rsid w:val="0C290A77"/>
    <w:rsid w:val="0C3E6DE0"/>
    <w:rsid w:val="0C6A1557"/>
    <w:rsid w:val="0C8A998C"/>
    <w:rsid w:val="0CA2C199"/>
    <w:rsid w:val="0CCD52F1"/>
    <w:rsid w:val="0CED9725"/>
    <w:rsid w:val="0CF1DD12"/>
    <w:rsid w:val="0D18C4DB"/>
    <w:rsid w:val="0D1FF8E2"/>
    <w:rsid w:val="0DC876AE"/>
    <w:rsid w:val="0DE03E42"/>
    <w:rsid w:val="0DEA94CA"/>
    <w:rsid w:val="0E0333B1"/>
    <w:rsid w:val="0E33E8DF"/>
    <w:rsid w:val="0E7619B5"/>
    <w:rsid w:val="0E7F4544"/>
    <w:rsid w:val="0ED966A9"/>
    <w:rsid w:val="0EEB8D7F"/>
    <w:rsid w:val="0F3201C4"/>
    <w:rsid w:val="0F823FD9"/>
    <w:rsid w:val="10134B92"/>
    <w:rsid w:val="10B1F874"/>
    <w:rsid w:val="10B67A75"/>
    <w:rsid w:val="10CBB42D"/>
    <w:rsid w:val="10D3AB0A"/>
    <w:rsid w:val="10E420D0"/>
    <w:rsid w:val="10E5341F"/>
    <w:rsid w:val="1164A4BC"/>
    <w:rsid w:val="116BC387"/>
    <w:rsid w:val="11A031F7"/>
    <w:rsid w:val="11C833E1"/>
    <w:rsid w:val="11EAC5D5"/>
    <w:rsid w:val="11F55FD0"/>
    <w:rsid w:val="1277034F"/>
    <w:rsid w:val="12996A90"/>
    <w:rsid w:val="12B43B29"/>
    <w:rsid w:val="12D2C9A6"/>
    <w:rsid w:val="12D38DDC"/>
    <w:rsid w:val="12DBBBA7"/>
    <w:rsid w:val="13117E1E"/>
    <w:rsid w:val="13230351"/>
    <w:rsid w:val="133284BE"/>
    <w:rsid w:val="13D01830"/>
    <w:rsid w:val="13F2855D"/>
    <w:rsid w:val="1439B3EA"/>
    <w:rsid w:val="14509865"/>
    <w:rsid w:val="146B03EC"/>
    <w:rsid w:val="1496F37C"/>
    <w:rsid w:val="149FE8A2"/>
    <w:rsid w:val="14A733B9"/>
    <w:rsid w:val="14DEDFF5"/>
    <w:rsid w:val="14EAF76B"/>
    <w:rsid w:val="14F76A8C"/>
    <w:rsid w:val="1528D6F8"/>
    <w:rsid w:val="155B90C3"/>
    <w:rsid w:val="1582A15F"/>
    <w:rsid w:val="158E3F21"/>
    <w:rsid w:val="15F6C099"/>
    <w:rsid w:val="1622BFB9"/>
    <w:rsid w:val="16444DC3"/>
    <w:rsid w:val="16607BDC"/>
    <w:rsid w:val="1683003E"/>
    <w:rsid w:val="16B41D5D"/>
    <w:rsid w:val="16E18676"/>
    <w:rsid w:val="16F834D6"/>
    <w:rsid w:val="170B07CE"/>
    <w:rsid w:val="1711000B"/>
    <w:rsid w:val="17193B5D"/>
    <w:rsid w:val="1719D2D5"/>
    <w:rsid w:val="1723A414"/>
    <w:rsid w:val="172ECB8F"/>
    <w:rsid w:val="174D6992"/>
    <w:rsid w:val="174D8532"/>
    <w:rsid w:val="17552E1C"/>
    <w:rsid w:val="175DE778"/>
    <w:rsid w:val="17765D1F"/>
    <w:rsid w:val="17B25BE1"/>
    <w:rsid w:val="17C854EE"/>
    <w:rsid w:val="18136E1F"/>
    <w:rsid w:val="18344A03"/>
    <w:rsid w:val="185B3563"/>
    <w:rsid w:val="188A60F6"/>
    <w:rsid w:val="18E3AD6C"/>
    <w:rsid w:val="18E3F49E"/>
    <w:rsid w:val="18E8E938"/>
    <w:rsid w:val="19161F67"/>
    <w:rsid w:val="19240AD7"/>
    <w:rsid w:val="192C7AA1"/>
    <w:rsid w:val="193488F1"/>
    <w:rsid w:val="199F39A4"/>
    <w:rsid w:val="1A017A15"/>
    <w:rsid w:val="1A4A1413"/>
    <w:rsid w:val="1AAE4F6E"/>
    <w:rsid w:val="1B625040"/>
    <w:rsid w:val="1B8740C2"/>
    <w:rsid w:val="1B89AB93"/>
    <w:rsid w:val="1BA2BE49"/>
    <w:rsid w:val="1BC201B8"/>
    <w:rsid w:val="1BC803FF"/>
    <w:rsid w:val="1BDB2A15"/>
    <w:rsid w:val="1C289F3F"/>
    <w:rsid w:val="1C4FA6AD"/>
    <w:rsid w:val="1CB10979"/>
    <w:rsid w:val="1CB7AA01"/>
    <w:rsid w:val="1CFE20A1"/>
    <w:rsid w:val="1D02945B"/>
    <w:rsid w:val="1D1BBE8D"/>
    <w:rsid w:val="1D494083"/>
    <w:rsid w:val="1D4B5392"/>
    <w:rsid w:val="1D6A749C"/>
    <w:rsid w:val="1D72C11A"/>
    <w:rsid w:val="1D822B91"/>
    <w:rsid w:val="1DC84521"/>
    <w:rsid w:val="1DFE0AB3"/>
    <w:rsid w:val="1E157CAE"/>
    <w:rsid w:val="1E43E450"/>
    <w:rsid w:val="1E649C32"/>
    <w:rsid w:val="1E82C085"/>
    <w:rsid w:val="1ED249C2"/>
    <w:rsid w:val="1EDE5846"/>
    <w:rsid w:val="1F095BC8"/>
    <w:rsid w:val="1F46E6B0"/>
    <w:rsid w:val="1F747A9B"/>
    <w:rsid w:val="1F83AB4A"/>
    <w:rsid w:val="1FB892F1"/>
    <w:rsid w:val="1FBAB729"/>
    <w:rsid w:val="1FFD6F0F"/>
    <w:rsid w:val="201AB18B"/>
    <w:rsid w:val="205B0AC6"/>
    <w:rsid w:val="206A3221"/>
    <w:rsid w:val="20AE9B38"/>
    <w:rsid w:val="20B5530E"/>
    <w:rsid w:val="21370623"/>
    <w:rsid w:val="216E4EC5"/>
    <w:rsid w:val="217BFEDD"/>
    <w:rsid w:val="2199A18F"/>
    <w:rsid w:val="21DE6216"/>
    <w:rsid w:val="222E3DB2"/>
    <w:rsid w:val="2242C2F2"/>
    <w:rsid w:val="228DC7FA"/>
    <w:rsid w:val="22FC3D10"/>
    <w:rsid w:val="2301039F"/>
    <w:rsid w:val="23066F08"/>
    <w:rsid w:val="2335FD07"/>
    <w:rsid w:val="23A31CE5"/>
    <w:rsid w:val="23CD139D"/>
    <w:rsid w:val="240AC0B6"/>
    <w:rsid w:val="243AA616"/>
    <w:rsid w:val="243BB7CA"/>
    <w:rsid w:val="2454284F"/>
    <w:rsid w:val="24DF4F78"/>
    <w:rsid w:val="24EBAE11"/>
    <w:rsid w:val="25143FDA"/>
    <w:rsid w:val="25D14361"/>
    <w:rsid w:val="25D7882B"/>
    <w:rsid w:val="2633DDD2"/>
    <w:rsid w:val="26D22D77"/>
    <w:rsid w:val="26DF300F"/>
    <w:rsid w:val="26EDE49B"/>
    <w:rsid w:val="271A3619"/>
    <w:rsid w:val="272EC9F4"/>
    <w:rsid w:val="2739396A"/>
    <w:rsid w:val="274E5DE8"/>
    <w:rsid w:val="28014D2D"/>
    <w:rsid w:val="281DC551"/>
    <w:rsid w:val="2830E36B"/>
    <w:rsid w:val="285F4798"/>
    <w:rsid w:val="2884EBE8"/>
    <w:rsid w:val="288DF593"/>
    <w:rsid w:val="288FDC3B"/>
    <w:rsid w:val="28F1FD2C"/>
    <w:rsid w:val="28F871D0"/>
    <w:rsid w:val="291333CD"/>
    <w:rsid w:val="292833C5"/>
    <w:rsid w:val="29491F7E"/>
    <w:rsid w:val="2990ECBD"/>
    <w:rsid w:val="299F21CE"/>
    <w:rsid w:val="29BA9F2B"/>
    <w:rsid w:val="29EC41D1"/>
    <w:rsid w:val="29FB7323"/>
    <w:rsid w:val="2A2CFA07"/>
    <w:rsid w:val="2A64524D"/>
    <w:rsid w:val="2A9ADEB2"/>
    <w:rsid w:val="2A9DE32F"/>
    <w:rsid w:val="2AA846D3"/>
    <w:rsid w:val="2AC6BA46"/>
    <w:rsid w:val="2B277EC5"/>
    <w:rsid w:val="2B3007B4"/>
    <w:rsid w:val="2C1D5BB2"/>
    <w:rsid w:val="2C759149"/>
    <w:rsid w:val="2C7C1D8E"/>
    <w:rsid w:val="2C877215"/>
    <w:rsid w:val="2C907775"/>
    <w:rsid w:val="2CBD071D"/>
    <w:rsid w:val="2CC16AEB"/>
    <w:rsid w:val="2CD3CCEA"/>
    <w:rsid w:val="2CEE920B"/>
    <w:rsid w:val="2D7DD357"/>
    <w:rsid w:val="2D7FD888"/>
    <w:rsid w:val="2D8EE94B"/>
    <w:rsid w:val="2DE6975C"/>
    <w:rsid w:val="2E1AE037"/>
    <w:rsid w:val="2E41EFA4"/>
    <w:rsid w:val="2E662F6A"/>
    <w:rsid w:val="2E96652C"/>
    <w:rsid w:val="2EBA5AF1"/>
    <w:rsid w:val="2ECF9C2B"/>
    <w:rsid w:val="2ED4B6D0"/>
    <w:rsid w:val="2F211170"/>
    <w:rsid w:val="2F7E5151"/>
    <w:rsid w:val="2FAA42E5"/>
    <w:rsid w:val="30134285"/>
    <w:rsid w:val="30192BE1"/>
    <w:rsid w:val="30267B8F"/>
    <w:rsid w:val="3048EBEA"/>
    <w:rsid w:val="3057B5E5"/>
    <w:rsid w:val="307AFF76"/>
    <w:rsid w:val="30ADCD5C"/>
    <w:rsid w:val="31178857"/>
    <w:rsid w:val="312F1DFB"/>
    <w:rsid w:val="314AA6A9"/>
    <w:rsid w:val="31B1F70E"/>
    <w:rsid w:val="31BD926D"/>
    <w:rsid w:val="31D5645C"/>
    <w:rsid w:val="31E84F37"/>
    <w:rsid w:val="31F424E6"/>
    <w:rsid w:val="32321893"/>
    <w:rsid w:val="324ADD59"/>
    <w:rsid w:val="327226B0"/>
    <w:rsid w:val="32B5F213"/>
    <w:rsid w:val="32E06DA9"/>
    <w:rsid w:val="32F10216"/>
    <w:rsid w:val="333ED3CF"/>
    <w:rsid w:val="33466E3E"/>
    <w:rsid w:val="33684BD9"/>
    <w:rsid w:val="3379CEDC"/>
    <w:rsid w:val="338605C8"/>
    <w:rsid w:val="338B7375"/>
    <w:rsid w:val="33CBC895"/>
    <w:rsid w:val="343E19AF"/>
    <w:rsid w:val="346F781B"/>
    <w:rsid w:val="34A6AC9D"/>
    <w:rsid w:val="34DD7337"/>
    <w:rsid w:val="34EDB328"/>
    <w:rsid w:val="35273167"/>
    <w:rsid w:val="3541F7ED"/>
    <w:rsid w:val="355EA95F"/>
    <w:rsid w:val="3586F54E"/>
    <w:rsid w:val="35A51DA7"/>
    <w:rsid w:val="35F5997B"/>
    <w:rsid w:val="35FCF6E1"/>
    <w:rsid w:val="36084AA9"/>
    <w:rsid w:val="361A368A"/>
    <w:rsid w:val="3644391C"/>
    <w:rsid w:val="366FE835"/>
    <w:rsid w:val="36705B2C"/>
    <w:rsid w:val="367D6028"/>
    <w:rsid w:val="36C5312E"/>
    <w:rsid w:val="374A70C8"/>
    <w:rsid w:val="3758A62B"/>
    <w:rsid w:val="37E0E129"/>
    <w:rsid w:val="37F22496"/>
    <w:rsid w:val="37FB896D"/>
    <w:rsid w:val="380733FB"/>
    <w:rsid w:val="3810F20C"/>
    <w:rsid w:val="38122E7E"/>
    <w:rsid w:val="382DFC0D"/>
    <w:rsid w:val="383DEE2E"/>
    <w:rsid w:val="385DA760"/>
    <w:rsid w:val="3884486B"/>
    <w:rsid w:val="38B735DA"/>
    <w:rsid w:val="38EBFCC3"/>
    <w:rsid w:val="38F6CAB9"/>
    <w:rsid w:val="3937722B"/>
    <w:rsid w:val="397CB18A"/>
    <w:rsid w:val="398B1B8F"/>
    <w:rsid w:val="3993C1DC"/>
    <w:rsid w:val="39A0FC6E"/>
    <w:rsid w:val="39A35D03"/>
    <w:rsid w:val="39B6CAC4"/>
    <w:rsid w:val="3A0A9F27"/>
    <w:rsid w:val="3A5428A5"/>
    <w:rsid w:val="3A54B608"/>
    <w:rsid w:val="3A99BF82"/>
    <w:rsid w:val="3AC5B161"/>
    <w:rsid w:val="3AE35C7F"/>
    <w:rsid w:val="3B143003"/>
    <w:rsid w:val="3B159882"/>
    <w:rsid w:val="3B22A16B"/>
    <w:rsid w:val="3B5930B5"/>
    <w:rsid w:val="3B71FF98"/>
    <w:rsid w:val="3B833CE3"/>
    <w:rsid w:val="3BC1A685"/>
    <w:rsid w:val="3BDF9403"/>
    <w:rsid w:val="3C2FA2DE"/>
    <w:rsid w:val="3C5351ED"/>
    <w:rsid w:val="3C5A7CD4"/>
    <w:rsid w:val="3C6E199B"/>
    <w:rsid w:val="3C7EFE0C"/>
    <w:rsid w:val="3C8EE08B"/>
    <w:rsid w:val="3C93DB6B"/>
    <w:rsid w:val="3CA2B166"/>
    <w:rsid w:val="3CA8952F"/>
    <w:rsid w:val="3CAE6D1F"/>
    <w:rsid w:val="3D25830B"/>
    <w:rsid w:val="3D39FC1D"/>
    <w:rsid w:val="3D99257A"/>
    <w:rsid w:val="3DA148CE"/>
    <w:rsid w:val="3DC251C8"/>
    <w:rsid w:val="3DDFFB8F"/>
    <w:rsid w:val="3E08111E"/>
    <w:rsid w:val="3E09E9FC"/>
    <w:rsid w:val="3E0DEC43"/>
    <w:rsid w:val="3E3164EA"/>
    <w:rsid w:val="3E4FB66A"/>
    <w:rsid w:val="3E55F50C"/>
    <w:rsid w:val="3E8257B7"/>
    <w:rsid w:val="3FC5437F"/>
    <w:rsid w:val="3FD21374"/>
    <w:rsid w:val="3FFCD65E"/>
    <w:rsid w:val="40567E9F"/>
    <w:rsid w:val="406291B7"/>
    <w:rsid w:val="407439B5"/>
    <w:rsid w:val="4088292B"/>
    <w:rsid w:val="40F0EAE3"/>
    <w:rsid w:val="411027FC"/>
    <w:rsid w:val="4130A6B9"/>
    <w:rsid w:val="413BE6C8"/>
    <w:rsid w:val="4154D93F"/>
    <w:rsid w:val="4160D1F5"/>
    <w:rsid w:val="41BE0165"/>
    <w:rsid w:val="41D9560A"/>
    <w:rsid w:val="4232DB6D"/>
    <w:rsid w:val="423B7D9D"/>
    <w:rsid w:val="423D62BB"/>
    <w:rsid w:val="4285C37E"/>
    <w:rsid w:val="428864BC"/>
    <w:rsid w:val="431A5D0A"/>
    <w:rsid w:val="4336B6A0"/>
    <w:rsid w:val="434C7C82"/>
    <w:rsid w:val="434D6677"/>
    <w:rsid w:val="43BED211"/>
    <w:rsid w:val="43D9CE9B"/>
    <w:rsid w:val="43F52635"/>
    <w:rsid w:val="43FA87DC"/>
    <w:rsid w:val="440A1228"/>
    <w:rsid w:val="448ADC02"/>
    <w:rsid w:val="448B5580"/>
    <w:rsid w:val="44A322A7"/>
    <w:rsid w:val="4513BCBD"/>
    <w:rsid w:val="452DE3EE"/>
    <w:rsid w:val="45A96091"/>
    <w:rsid w:val="45B1CDBA"/>
    <w:rsid w:val="45D3D262"/>
    <w:rsid w:val="46209C9E"/>
    <w:rsid w:val="46942AE7"/>
    <w:rsid w:val="46B1E7A8"/>
    <w:rsid w:val="46CC0C24"/>
    <w:rsid w:val="46DE5135"/>
    <w:rsid w:val="46E86FD0"/>
    <w:rsid w:val="470D31EF"/>
    <w:rsid w:val="4799A247"/>
    <w:rsid w:val="47B2AC56"/>
    <w:rsid w:val="47ED5193"/>
    <w:rsid w:val="482FFB48"/>
    <w:rsid w:val="483CB003"/>
    <w:rsid w:val="48868D2B"/>
    <w:rsid w:val="48AD2DF0"/>
    <w:rsid w:val="48B46BDD"/>
    <w:rsid w:val="48BE9778"/>
    <w:rsid w:val="48CCD857"/>
    <w:rsid w:val="48E5A712"/>
    <w:rsid w:val="48E6608B"/>
    <w:rsid w:val="48EEBD59"/>
    <w:rsid w:val="4916124A"/>
    <w:rsid w:val="4931F2A7"/>
    <w:rsid w:val="493D3F1C"/>
    <w:rsid w:val="498CC907"/>
    <w:rsid w:val="49E35152"/>
    <w:rsid w:val="49ECCA27"/>
    <w:rsid w:val="4A115E70"/>
    <w:rsid w:val="4A16CDE3"/>
    <w:rsid w:val="4AA194DF"/>
    <w:rsid w:val="4AE0D0EC"/>
    <w:rsid w:val="4B37C122"/>
    <w:rsid w:val="4B6C70EA"/>
    <w:rsid w:val="4B7BE8DC"/>
    <w:rsid w:val="4C4DB30C"/>
    <w:rsid w:val="4C4E18D5"/>
    <w:rsid w:val="4CFF9ABD"/>
    <w:rsid w:val="4D17B93D"/>
    <w:rsid w:val="4D2C7B8F"/>
    <w:rsid w:val="4D33846A"/>
    <w:rsid w:val="4D4C5D38"/>
    <w:rsid w:val="4D7DE22A"/>
    <w:rsid w:val="4DBF5A64"/>
    <w:rsid w:val="4DDED362"/>
    <w:rsid w:val="4E23141B"/>
    <w:rsid w:val="4E2F0907"/>
    <w:rsid w:val="4E451EEA"/>
    <w:rsid w:val="4E52DC74"/>
    <w:rsid w:val="4E633AC1"/>
    <w:rsid w:val="4EC5E440"/>
    <w:rsid w:val="4EC891D3"/>
    <w:rsid w:val="4EED389B"/>
    <w:rsid w:val="4F316EDE"/>
    <w:rsid w:val="4F4574F7"/>
    <w:rsid w:val="4FBBA22A"/>
    <w:rsid w:val="4FE52CB3"/>
    <w:rsid w:val="506E0896"/>
    <w:rsid w:val="50E63CEC"/>
    <w:rsid w:val="513762EE"/>
    <w:rsid w:val="51710799"/>
    <w:rsid w:val="517624F8"/>
    <w:rsid w:val="5181ECC3"/>
    <w:rsid w:val="51927F9B"/>
    <w:rsid w:val="51D7EC28"/>
    <w:rsid w:val="51E5C7E8"/>
    <w:rsid w:val="51F80925"/>
    <w:rsid w:val="5208A0B6"/>
    <w:rsid w:val="5223DD86"/>
    <w:rsid w:val="523B63C5"/>
    <w:rsid w:val="5252332D"/>
    <w:rsid w:val="526CE6D7"/>
    <w:rsid w:val="527CCAC1"/>
    <w:rsid w:val="529EA1E9"/>
    <w:rsid w:val="52CBE6BD"/>
    <w:rsid w:val="533D0E59"/>
    <w:rsid w:val="53838007"/>
    <w:rsid w:val="53B836D1"/>
    <w:rsid w:val="53BF64A6"/>
    <w:rsid w:val="53D6196A"/>
    <w:rsid w:val="5408B738"/>
    <w:rsid w:val="54145230"/>
    <w:rsid w:val="54376B65"/>
    <w:rsid w:val="54C52AF0"/>
    <w:rsid w:val="555DC814"/>
    <w:rsid w:val="556808AA"/>
    <w:rsid w:val="55A2A8D5"/>
    <w:rsid w:val="55C0B31E"/>
    <w:rsid w:val="55FC7E31"/>
    <w:rsid w:val="561CB0A9"/>
    <w:rsid w:val="566C60A1"/>
    <w:rsid w:val="567CD2E6"/>
    <w:rsid w:val="568DD778"/>
    <w:rsid w:val="56AC0BBA"/>
    <w:rsid w:val="56FAEEC7"/>
    <w:rsid w:val="5734DB54"/>
    <w:rsid w:val="57B6F522"/>
    <w:rsid w:val="57E95074"/>
    <w:rsid w:val="585092EF"/>
    <w:rsid w:val="589E7B77"/>
    <w:rsid w:val="58E73D08"/>
    <w:rsid w:val="591DE725"/>
    <w:rsid w:val="5960DCBF"/>
    <w:rsid w:val="5992BF64"/>
    <w:rsid w:val="59ADF556"/>
    <w:rsid w:val="59BE2599"/>
    <w:rsid w:val="5A1551C1"/>
    <w:rsid w:val="5A5CFFE1"/>
    <w:rsid w:val="5A750B47"/>
    <w:rsid w:val="5AC203C5"/>
    <w:rsid w:val="5AE7B201"/>
    <w:rsid w:val="5B49D4B1"/>
    <w:rsid w:val="5BA0C652"/>
    <w:rsid w:val="5BEB05B8"/>
    <w:rsid w:val="5C1775B5"/>
    <w:rsid w:val="5C5B60BD"/>
    <w:rsid w:val="5C668DF9"/>
    <w:rsid w:val="5C70F6B0"/>
    <w:rsid w:val="5C838262"/>
    <w:rsid w:val="5CCD9F7B"/>
    <w:rsid w:val="5CD58BC3"/>
    <w:rsid w:val="5CF57055"/>
    <w:rsid w:val="5CF7B510"/>
    <w:rsid w:val="5D2A143A"/>
    <w:rsid w:val="5D30119F"/>
    <w:rsid w:val="5DA76387"/>
    <w:rsid w:val="5DF1D031"/>
    <w:rsid w:val="5E3B172B"/>
    <w:rsid w:val="5E4D9416"/>
    <w:rsid w:val="5E52BF04"/>
    <w:rsid w:val="5EDE33BA"/>
    <w:rsid w:val="5EF07D52"/>
    <w:rsid w:val="5F3E293B"/>
    <w:rsid w:val="5F54ECCC"/>
    <w:rsid w:val="5F6079CE"/>
    <w:rsid w:val="5FA84035"/>
    <w:rsid w:val="5FA8412E"/>
    <w:rsid w:val="5FE1DF51"/>
    <w:rsid w:val="6006DF0B"/>
    <w:rsid w:val="600BA7EB"/>
    <w:rsid w:val="60150D38"/>
    <w:rsid w:val="602F6D73"/>
    <w:rsid w:val="60651182"/>
    <w:rsid w:val="606D09CD"/>
    <w:rsid w:val="60C5DBEC"/>
    <w:rsid w:val="60C72C97"/>
    <w:rsid w:val="60D2CFB9"/>
    <w:rsid w:val="60F0BD2D"/>
    <w:rsid w:val="61340967"/>
    <w:rsid w:val="6160156C"/>
    <w:rsid w:val="61FF3C5A"/>
    <w:rsid w:val="621FA9BE"/>
    <w:rsid w:val="62235374"/>
    <w:rsid w:val="62374476"/>
    <w:rsid w:val="6284F239"/>
    <w:rsid w:val="62942737"/>
    <w:rsid w:val="62BCA720"/>
    <w:rsid w:val="62C2B607"/>
    <w:rsid w:val="62C73327"/>
    <w:rsid w:val="62CFD9C8"/>
    <w:rsid w:val="62E6E83D"/>
    <w:rsid w:val="62FB270D"/>
    <w:rsid w:val="630A6E7A"/>
    <w:rsid w:val="631597BD"/>
    <w:rsid w:val="6346C680"/>
    <w:rsid w:val="636478FD"/>
    <w:rsid w:val="63885B04"/>
    <w:rsid w:val="639B0CBB"/>
    <w:rsid w:val="63AA9094"/>
    <w:rsid w:val="63D314D7"/>
    <w:rsid w:val="63E19506"/>
    <w:rsid w:val="63E40FA1"/>
    <w:rsid w:val="6405F0BD"/>
    <w:rsid w:val="640ACD82"/>
    <w:rsid w:val="6446F516"/>
    <w:rsid w:val="644B72FB"/>
    <w:rsid w:val="64636C4F"/>
    <w:rsid w:val="6476134E"/>
    <w:rsid w:val="64B733B7"/>
    <w:rsid w:val="64CB7631"/>
    <w:rsid w:val="658619FA"/>
    <w:rsid w:val="65C23CAB"/>
    <w:rsid w:val="65F47948"/>
    <w:rsid w:val="661A2B1A"/>
    <w:rsid w:val="664D387F"/>
    <w:rsid w:val="6677E0A8"/>
    <w:rsid w:val="66A0CE4C"/>
    <w:rsid w:val="66B3281A"/>
    <w:rsid w:val="66FF5D4E"/>
    <w:rsid w:val="67190E91"/>
    <w:rsid w:val="6721EA5B"/>
    <w:rsid w:val="67539ACA"/>
    <w:rsid w:val="6758635C"/>
    <w:rsid w:val="680C0563"/>
    <w:rsid w:val="68BAB4C1"/>
    <w:rsid w:val="68D1077D"/>
    <w:rsid w:val="6979EF11"/>
    <w:rsid w:val="698B7E3C"/>
    <w:rsid w:val="698DDC92"/>
    <w:rsid w:val="69A06539"/>
    <w:rsid w:val="69F2CB6B"/>
    <w:rsid w:val="6A02334A"/>
    <w:rsid w:val="6A5EBB16"/>
    <w:rsid w:val="6A9E5419"/>
    <w:rsid w:val="6AF0E683"/>
    <w:rsid w:val="6B5F2314"/>
    <w:rsid w:val="6B730F71"/>
    <w:rsid w:val="6B8FF418"/>
    <w:rsid w:val="6B9F45C9"/>
    <w:rsid w:val="6BCAD95F"/>
    <w:rsid w:val="6C5206FB"/>
    <w:rsid w:val="6C74123A"/>
    <w:rsid w:val="6CEC20C4"/>
    <w:rsid w:val="6D11DB32"/>
    <w:rsid w:val="6D384A7D"/>
    <w:rsid w:val="6D56261C"/>
    <w:rsid w:val="6D9942E8"/>
    <w:rsid w:val="6D9DDD21"/>
    <w:rsid w:val="6DCACAA6"/>
    <w:rsid w:val="6DE1FB20"/>
    <w:rsid w:val="6E39F803"/>
    <w:rsid w:val="6E96721A"/>
    <w:rsid w:val="6EDCE5AC"/>
    <w:rsid w:val="6EEAD791"/>
    <w:rsid w:val="6F1DB504"/>
    <w:rsid w:val="6F606910"/>
    <w:rsid w:val="6FB092D3"/>
    <w:rsid w:val="6FBF5FC6"/>
    <w:rsid w:val="6FFD3AAE"/>
    <w:rsid w:val="70319BDB"/>
    <w:rsid w:val="70660FDD"/>
    <w:rsid w:val="707A0DFC"/>
    <w:rsid w:val="7090CB96"/>
    <w:rsid w:val="70DB958E"/>
    <w:rsid w:val="70E61D45"/>
    <w:rsid w:val="70EC87DA"/>
    <w:rsid w:val="71171D3F"/>
    <w:rsid w:val="7125781E"/>
    <w:rsid w:val="7132E3C2"/>
    <w:rsid w:val="718C3275"/>
    <w:rsid w:val="7198272B"/>
    <w:rsid w:val="719CBC87"/>
    <w:rsid w:val="71A2A7C2"/>
    <w:rsid w:val="71ED693F"/>
    <w:rsid w:val="71FA8C7B"/>
    <w:rsid w:val="724C26EB"/>
    <w:rsid w:val="725555C6"/>
    <w:rsid w:val="72A4D1F9"/>
    <w:rsid w:val="72A66130"/>
    <w:rsid w:val="72C5B67D"/>
    <w:rsid w:val="732A4478"/>
    <w:rsid w:val="735AA0A4"/>
    <w:rsid w:val="735FFFCF"/>
    <w:rsid w:val="7362DFE6"/>
    <w:rsid w:val="743C65B9"/>
    <w:rsid w:val="74884014"/>
    <w:rsid w:val="749B0A9B"/>
    <w:rsid w:val="74C1DAA2"/>
    <w:rsid w:val="74F3D7AD"/>
    <w:rsid w:val="758CF688"/>
    <w:rsid w:val="75B76943"/>
    <w:rsid w:val="7635EA46"/>
    <w:rsid w:val="76529266"/>
    <w:rsid w:val="767B9AE2"/>
    <w:rsid w:val="76A69241"/>
    <w:rsid w:val="76AF165B"/>
    <w:rsid w:val="771370E9"/>
    <w:rsid w:val="771B2308"/>
    <w:rsid w:val="774BD93A"/>
    <w:rsid w:val="77EF271E"/>
    <w:rsid w:val="78178EFA"/>
    <w:rsid w:val="785170A9"/>
    <w:rsid w:val="785627C6"/>
    <w:rsid w:val="786ECA2B"/>
    <w:rsid w:val="78748DD2"/>
    <w:rsid w:val="78BB15C0"/>
    <w:rsid w:val="78D35864"/>
    <w:rsid w:val="78E342D5"/>
    <w:rsid w:val="79008675"/>
    <w:rsid w:val="792A841E"/>
    <w:rsid w:val="794040E0"/>
    <w:rsid w:val="7949F9F4"/>
    <w:rsid w:val="798DF359"/>
    <w:rsid w:val="79EB72BA"/>
    <w:rsid w:val="79F1CBD1"/>
    <w:rsid w:val="7A10DCBB"/>
    <w:rsid w:val="7A373241"/>
    <w:rsid w:val="7A6D1092"/>
    <w:rsid w:val="7A7A3297"/>
    <w:rsid w:val="7A8F2B95"/>
    <w:rsid w:val="7AE5CA55"/>
    <w:rsid w:val="7B5D7C92"/>
    <w:rsid w:val="7B6CE60C"/>
    <w:rsid w:val="7BAB8E9E"/>
    <w:rsid w:val="7BBDADC8"/>
    <w:rsid w:val="7BC30F6F"/>
    <w:rsid w:val="7BDBEE93"/>
    <w:rsid w:val="7BE2F190"/>
    <w:rsid w:val="7BE3541C"/>
    <w:rsid w:val="7BF24B2D"/>
    <w:rsid w:val="7C066221"/>
    <w:rsid w:val="7C33B672"/>
    <w:rsid w:val="7C51A13F"/>
    <w:rsid w:val="7CA283B5"/>
    <w:rsid w:val="7CF94CF3"/>
    <w:rsid w:val="7DAC52F7"/>
    <w:rsid w:val="7E507C4D"/>
    <w:rsid w:val="7E6AB57D"/>
    <w:rsid w:val="7E7A56CB"/>
    <w:rsid w:val="7E903EE7"/>
    <w:rsid w:val="7EA7D398"/>
    <w:rsid w:val="7EB969F0"/>
    <w:rsid w:val="7EF54E8A"/>
    <w:rsid w:val="7EFC21D3"/>
    <w:rsid w:val="7F0404E5"/>
    <w:rsid w:val="7F46A5BB"/>
    <w:rsid w:val="7F6876CE"/>
    <w:rsid w:val="7F7F3625"/>
    <w:rsid w:val="7FB07F69"/>
    <w:rsid w:val="7FE65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3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CEC"/>
    <w:pPr>
      <w:spacing w:before="240" w:line="300" w:lineRule="auto"/>
    </w:pPr>
    <w:rPr>
      <w:sz w:val="26"/>
    </w:rPr>
  </w:style>
  <w:style w:type="paragraph" w:styleId="Heading1">
    <w:name w:val="heading 1"/>
    <w:basedOn w:val="Normal"/>
    <w:next w:val="Normal"/>
    <w:link w:val="Heading1Char"/>
    <w:uiPriority w:val="9"/>
    <w:qFormat/>
    <w:rsid w:val="0003325B"/>
    <w:pPr>
      <w:numPr>
        <w:numId w:val="1"/>
      </w:numPr>
      <w:spacing w:before="520" w:after="120"/>
      <w:ind w:left="431" w:hanging="431"/>
      <w:outlineLvl w:val="0"/>
    </w:pPr>
    <w:rPr>
      <w:rFonts w:asciiTheme="majorHAnsi" w:eastAsiaTheme="majorEastAsia" w:hAnsiTheme="majorHAnsi" w:cstheme="majorBidi"/>
      <w:color w:val="6A0C22"/>
      <w:sz w:val="44"/>
      <w:szCs w:val="44"/>
    </w:rPr>
  </w:style>
  <w:style w:type="paragraph" w:styleId="Heading2">
    <w:name w:val="heading 2"/>
    <w:basedOn w:val="Normal"/>
    <w:next w:val="Normal"/>
    <w:link w:val="Heading2Char"/>
    <w:uiPriority w:val="9"/>
    <w:unhideWhenUsed/>
    <w:qFormat/>
    <w:rsid w:val="00FC5096"/>
    <w:pPr>
      <w:keepNext/>
      <w:numPr>
        <w:ilvl w:val="1"/>
        <w:numId w:val="1"/>
      </w:numPr>
      <w:spacing w:before="360"/>
      <w:ind w:left="578" w:hanging="578"/>
      <w:outlineLvl w:val="1"/>
    </w:pPr>
    <w:rPr>
      <w:b/>
      <w:color w:val="316D6E"/>
      <w:sz w:val="32"/>
      <w:szCs w:val="36"/>
    </w:rPr>
  </w:style>
  <w:style w:type="paragraph" w:styleId="Heading3">
    <w:name w:val="heading 3"/>
    <w:basedOn w:val="Normal"/>
    <w:next w:val="Normal"/>
    <w:link w:val="Heading3Char"/>
    <w:uiPriority w:val="9"/>
    <w:unhideWhenUsed/>
    <w:qFormat/>
    <w:rsid w:val="006E7B9A"/>
    <w:pPr>
      <w:keepNext/>
      <w:numPr>
        <w:ilvl w:val="2"/>
        <w:numId w:val="1"/>
      </w:numPr>
      <w:spacing w:after="120"/>
      <w:ind w:left="0" w:firstLine="0"/>
      <w:outlineLvl w:val="2"/>
    </w:pPr>
    <w:rPr>
      <w:rFonts w:eastAsiaTheme="majorEastAsia" w:cstheme="majorBidi"/>
      <w:b/>
      <w:color w:val="000000" w:themeColor="text1"/>
      <w:sz w:val="28"/>
      <w:szCs w:val="32"/>
    </w:rPr>
  </w:style>
  <w:style w:type="paragraph" w:styleId="Heading4">
    <w:name w:val="heading 4"/>
    <w:basedOn w:val="Normal"/>
    <w:next w:val="Normal"/>
    <w:link w:val="Heading4Char"/>
    <w:uiPriority w:val="9"/>
    <w:semiHidden/>
    <w:unhideWhenUsed/>
    <w:qFormat/>
    <w:rsid w:val="0096277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277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277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277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277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277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F0C98"/>
    <w:pPr>
      <w:spacing w:line="240" w:lineRule="auto"/>
      <w:contextualSpacing/>
    </w:pPr>
    <w:rPr>
      <w:rFonts w:eastAsiaTheme="majorEastAsia" w:cstheme="majorBidi"/>
      <w:b/>
      <w:color w:val="6A0C22"/>
      <w:spacing w:val="-10"/>
      <w:kern w:val="28"/>
      <w:sz w:val="72"/>
      <w:szCs w:val="56"/>
    </w:rPr>
  </w:style>
  <w:style w:type="character" w:customStyle="1" w:styleId="TitleChar">
    <w:name w:val="Title Char"/>
    <w:basedOn w:val="DefaultParagraphFont"/>
    <w:link w:val="Title"/>
    <w:rsid w:val="002F0C98"/>
    <w:rPr>
      <w:rFonts w:eastAsiaTheme="majorEastAsia" w:cstheme="majorBidi"/>
      <w:b/>
      <w:color w:val="6A0C22"/>
      <w:spacing w:val="-10"/>
      <w:kern w:val="28"/>
      <w:sz w:val="72"/>
      <w:szCs w:val="56"/>
    </w:rPr>
  </w:style>
  <w:style w:type="paragraph" w:styleId="ListParagraph">
    <w:name w:val="List Paragraph"/>
    <w:aliases w:val="RFP question,dot point List Paragraph,Normal bullet 2,Newsweek,Use Case List Paragraph,Heading2,List Paragraph1,b1,Bullet for no #'s,first level bullet,List Paragraph11,List Paragraph2,List Paragraph Char Char,lp1,Number_1,new"/>
    <w:basedOn w:val="Normal"/>
    <w:link w:val="ListParagraphChar"/>
    <w:uiPriority w:val="34"/>
    <w:qFormat/>
    <w:rsid w:val="002E1B30"/>
    <w:pPr>
      <w:ind w:left="720"/>
      <w:contextualSpacing/>
    </w:pPr>
  </w:style>
  <w:style w:type="character" w:customStyle="1" w:styleId="Heading1Char">
    <w:name w:val="Heading 1 Char"/>
    <w:basedOn w:val="DefaultParagraphFont"/>
    <w:link w:val="Heading1"/>
    <w:uiPriority w:val="9"/>
    <w:rsid w:val="0003325B"/>
    <w:rPr>
      <w:rFonts w:asciiTheme="majorHAnsi" w:eastAsiaTheme="majorEastAsia" w:hAnsiTheme="majorHAnsi" w:cstheme="majorBidi"/>
      <w:color w:val="6A0C22"/>
      <w:sz w:val="44"/>
      <w:szCs w:val="44"/>
    </w:rPr>
  </w:style>
  <w:style w:type="character" w:customStyle="1" w:styleId="Heading2Char">
    <w:name w:val="Heading 2 Char"/>
    <w:basedOn w:val="DefaultParagraphFont"/>
    <w:link w:val="Heading2"/>
    <w:uiPriority w:val="9"/>
    <w:rsid w:val="00FC5096"/>
    <w:rPr>
      <w:b/>
      <w:color w:val="316D6E"/>
      <w:sz w:val="32"/>
      <w:szCs w:val="36"/>
    </w:rPr>
  </w:style>
  <w:style w:type="character" w:styleId="CommentReference">
    <w:name w:val="annotation reference"/>
    <w:basedOn w:val="DefaultParagraphFont"/>
    <w:uiPriority w:val="99"/>
    <w:semiHidden/>
    <w:unhideWhenUsed/>
    <w:rsid w:val="00E04C87"/>
    <w:rPr>
      <w:sz w:val="16"/>
      <w:szCs w:val="16"/>
    </w:rPr>
  </w:style>
  <w:style w:type="paragraph" w:styleId="CommentText">
    <w:name w:val="annotation text"/>
    <w:basedOn w:val="Normal"/>
    <w:link w:val="CommentTextChar"/>
    <w:uiPriority w:val="99"/>
    <w:unhideWhenUsed/>
    <w:rsid w:val="00E04C87"/>
    <w:pPr>
      <w:spacing w:line="240" w:lineRule="auto"/>
    </w:pPr>
    <w:rPr>
      <w:sz w:val="20"/>
      <w:szCs w:val="20"/>
    </w:rPr>
  </w:style>
  <w:style w:type="character" w:customStyle="1" w:styleId="CommentTextChar">
    <w:name w:val="Comment Text Char"/>
    <w:basedOn w:val="DefaultParagraphFont"/>
    <w:link w:val="CommentText"/>
    <w:uiPriority w:val="99"/>
    <w:rsid w:val="00E04C87"/>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E04C87"/>
    <w:rPr>
      <w:b/>
      <w:bCs/>
    </w:rPr>
  </w:style>
  <w:style w:type="character" w:customStyle="1" w:styleId="CommentSubjectChar">
    <w:name w:val="Comment Subject Char"/>
    <w:basedOn w:val="CommentTextChar"/>
    <w:link w:val="CommentSubject"/>
    <w:uiPriority w:val="99"/>
    <w:semiHidden/>
    <w:rsid w:val="00E04C87"/>
    <w:rPr>
      <w:rFonts w:ascii="Arial Nova Light" w:hAnsi="Arial Nova Light"/>
      <w:b/>
      <w:bCs/>
      <w:sz w:val="20"/>
      <w:szCs w:val="20"/>
    </w:rPr>
  </w:style>
  <w:style w:type="character" w:customStyle="1" w:styleId="Heading3Char">
    <w:name w:val="Heading 3 Char"/>
    <w:basedOn w:val="DefaultParagraphFont"/>
    <w:link w:val="Heading3"/>
    <w:uiPriority w:val="9"/>
    <w:rsid w:val="006E7B9A"/>
    <w:rPr>
      <w:rFonts w:eastAsiaTheme="majorEastAsia" w:cstheme="majorBidi"/>
      <w:b/>
      <w:color w:val="000000" w:themeColor="text1"/>
      <w:sz w:val="28"/>
      <w:szCs w:val="32"/>
    </w:rPr>
  </w:style>
  <w:style w:type="character" w:customStyle="1" w:styleId="ListParagraphChar">
    <w:name w:val="List Paragraph Char"/>
    <w:aliases w:val="RFP question Char,dot point List Paragraph Char,Normal bullet 2 Char,Newsweek Char,Use Case List Paragraph Char,Heading2 Char,List Paragraph1 Char,b1 Char,Bullet for no #'s Char,first level bullet Char,List Paragraph11 Char,lp1 Char"/>
    <w:basedOn w:val="DefaultParagraphFont"/>
    <w:link w:val="ListParagraph"/>
    <w:uiPriority w:val="34"/>
    <w:qFormat/>
    <w:rsid w:val="00081615"/>
    <w:rPr>
      <w:rFonts w:ascii="Arial Nova Light" w:hAnsi="Arial Nova Light"/>
    </w:rPr>
  </w:style>
  <w:style w:type="paragraph" w:customStyle="1" w:styleId="Default">
    <w:name w:val="Default"/>
    <w:rsid w:val="009F7BE0"/>
    <w:pPr>
      <w:autoSpaceDE w:val="0"/>
      <w:autoSpaceDN w:val="0"/>
      <w:adjustRightInd w:val="0"/>
    </w:pPr>
    <w:rPr>
      <w:rFonts w:ascii="Franklin Gothic Book" w:hAnsi="Franklin Gothic Book" w:cs="Franklin Gothic Book"/>
      <w:color w:val="000000"/>
      <w:lang w:val="en-US"/>
    </w:rPr>
  </w:style>
  <w:style w:type="table" w:styleId="GridTable2-Accent3">
    <w:name w:val="Grid Table 2 Accent 3"/>
    <w:basedOn w:val="TableNormal"/>
    <w:uiPriority w:val="47"/>
    <w:rsid w:val="005D6D32"/>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1A74F1"/>
    <w:rPr>
      <w:color w:val="6A0C22"/>
      <w:u w:val="single"/>
    </w:rPr>
  </w:style>
  <w:style w:type="character" w:styleId="UnresolvedMention">
    <w:name w:val="Unresolved Mention"/>
    <w:basedOn w:val="DefaultParagraphFont"/>
    <w:uiPriority w:val="99"/>
    <w:semiHidden/>
    <w:unhideWhenUsed/>
    <w:rsid w:val="00401852"/>
    <w:rPr>
      <w:color w:val="605E5C"/>
      <w:shd w:val="clear" w:color="auto" w:fill="E1DFDD"/>
    </w:rPr>
  </w:style>
  <w:style w:type="paragraph" w:styleId="Revision">
    <w:name w:val="Revision"/>
    <w:hidden/>
    <w:uiPriority w:val="99"/>
    <w:semiHidden/>
    <w:rsid w:val="00DB21DB"/>
    <w:rPr>
      <w:rFonts w:ascii="Arial Nova Light" w:hAnsi="Arial Nova Light"/>
    </w:rPr>
  </w:style>
  <w:style w:type="paragraph" w:styleId="BalloonText">
    <w:name w:val="Balloon Text"/>
    <w:basedOn w:val="Normal"/>
    <w:link w:val="BalloonTextChar"/>
    <w:uiPriority w:val="99"/>
    <w:semiHidden/>
    <w:unhideWhenUsed/>
    <w:rsid w:val="007C30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038"/>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sid w:val="00FB57AD"/>
    <w:rPr>
      <w:sz w:val="26"/>
    </w:rPr>
  </w:style>
  <w:style w:type="paragraph" w:styleId="Footer">
    <w:name w:val="footer"/>
    <w:basedOn w:val="Normal"/>
    <w:link w:val="FooterChar"/>
    <w:uiPriority w:val="99"/>
    <w:unhideWhenUsed/>
    <w:rsid w:val="00FB57AD"/>
    <w:pPr>
      <w:tabs>
        <w:tab w:val="center" w:pos="4680"/>
        <w:tab w:val="right" w:pos="9360"/>
      </w:tabs>
      <w:spacing w:after="240" w:line="240" w:lineRule="auto"/>
    </w:p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660662"/>
    <w:pPr>
      <w:numPr>
        <w:numId w:val="0"/>
      </w:numPr>
      <w:spacing w:before="120" w:after="0"/>
      <w:outlineLvl w:val="9"/>
    </w:pPr>
    <w:rPr>
      <w:szCs w:val="32"/>
      <w:lang w:val="en-US"/>
    </w:rPr>
  </w:style>
  <w:style w:type="paragraph" w:styleId="TOC1">
    <w:name w:val="toc 1"/>
    <w:basedOn w:val="Normal"/>
    <w:next w:val="Normal"/>
    <w:autoRedefine/>
    <w:uiPriority w:val="39"/>
    <w:unhideWhenUsed/>
    <w:rsid w:val="00344716"/>
    <w:pPr>
      <w:tabs>
        <w:tab w:val="left" w:pos="480"/>
        <w:tab w:val="right" w:leader="dot" w:pos="9350"/>
      </w:tabs>
      <w:spacing w:before="0"/>
    </w:pPr>
    <w:rPr>
      <w:b/>
      <w:color w:val="6A0C22"/>
    </w:rPr>
  </w:style>
  <w:style w:type="paragraph" w:styleId="TOC2">
    <w:name w:val="toc 2"/>
    <w:basedOn w:val="Normal"/>
    <w:next w:val="Normal"/>
    <w:autoRedefine/>
    <w:uiPriority w:val="39"/>
    <w:unhideWhenUsed/>
    <w:rsid w:val="00344716"/>
    <w:pPr>
      <w:spacing w:before="0"/>
      <w:ind w:left="238"/>
    </w:pPr>
    <w:rPr>
      <w:b/>
    </w:rPr>
  </w:style>
  <w:style w:type="paragraph" w:styleId="TOC3">
    <w:name w:val="toc 3"/>
    <w:basedOn w:val="Normal"/>
    <w:next w:val="Normal"/>
    <w:autoRedefine/>
    <w:uiPriority w:val="39"/>
    <w:unhideWhenUsed/>
    <w:rsid w:val="00344716"/>
    <w:pPr>
      <w:tabs>
        <w:tab w:val="right" w:leader="dot" w:pos="9350"/>
      </w:tabs>
      <w:spacing w:before="0"/>
      <w:ind w:left="482"/>
    </w:pPr>
  </w:style>
  <w:style w:type="character" w:customStyle="1" w:styleId="Heading4Char">
    <w:name w:val="Heading 4 Char"/>
    <w:basedOn w:val="DefaultParagraphFont"/>
    <w:link w:val="Heading4"/>
    <w:uiPriority w:val="9"/>
    <w:semiHidden/>
    <w:rsid w:val="00962770"/>
    <w:rPr>
      <w:rFonts w:asciiTheme="majorHAnsi" w:eastAsiaTheme="majorEastAsia" w:hAnsiTheme="majorHAnsi" w:cstheme="majorBidi"/>
      <w:i/>
      <w:iCs/>
      <w:color w:val="2F5496" w:themeColor="accent1" w:themeShade="BF"/>
      <w:sz w:val="26"/>
    </w:rPr>
  </w:style>
  <w:style w:type="character" w:customStyle="1" w:styleId="Heading5Char">
    <w:name w:val="Heading 5 Char"/>
    <w:basedOn w:val="DefaultParagraphFont"/>
    <w:link w:val="Heading5"/>
    <w:uiPriority w:val="9"/>
    <w:semiHidden/>
    <w:rsid w:val="00962770"/>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semiHidden/>
    <w:rsid w:val="00962770"/>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962770"/>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9627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277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951A4C"/>
    <w:rPr>
      <w:color w:val="954F72" w:themeColor="followedHyperlink"/>
      <w:u w:val="single"/>
    </w:rPr>
  </w:style>
  <w:style w:type="paragraph" w:customStyle="1" w:styleId="Bodybullets">
    <w:name w:val="Body bullets"/>
    <w:basedOn w:val="ListParagraph"/>
    <w:qFormat/>
    <w:rsid w:val="00ED7289"/>
    <w:pPr>
      <w:numPr>
        <w:numId w:val="2"/>
      </w:numPr>
      <w:spacing w:before="120" w:after="240"/>
      <w:ind w:left="1077" w:hanging="357"/>
      <w:contextualSpacing w:val="0"/>
    </w:pPr>
  </w:style>
  <w:style w:type="paragraph" w:customStyle="1" w:styleId="Bodynumberedlist">
    <w:name w:val="Body numbered list"/>
    <w:basedOn w:val="ListParagraph"/>
    <w:qFormat/>
    <w:rsid w:val="003577B8"/>
    <w:pPr>
      <w:numPr>
        <w:numId w:val="3"/>
      </w:numPr>
      <w:spacing w:before="120" w:after="24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7109">
      <w:bodyDiv w:val="1"/>
      <w:marLeft w:val="0"/>
      <w:marRight w:val="0"/>
      <w:marTop w:val="0"/>
      <w:marBottom w:val="0"/>
      <w:divBdr>
        <w:top w:val="none" w:sz="0" w:space="0" w:color="auto"/>
        <w:left w:val="none" w:sz="0" w:space="0" w:color="auto"/>
        <w:bottom w:val="none" w:sz="0" w:space="0" w:color="auto"/>
        <w:right w:val="none" w:sz="0" w:space="0" w:color="auto"/>
      </w:divBdr>
    </w:div>
    <w:div w:id="460879770">
      <w:bodyDiv w:val="1"/>
      <w:marLeft w:val="0"/>
      <w:marRight w:val="0"/>
      <w:marTop w:val="0"/>
      <w:marBottom w:val="0"/>
      <w:divBdr>
        <w:top w:val="none" w:sz="0" w:space="0" w:color="auto"/>
        <w:left w:val="none" w:sz="0" w:space="0" w:color="auto"/>
        <w:bottom w:val="none" w:sz="0" w:space="0" w:color="auto"/>
        <w:right w:val="none" w:sz="0" w:space="0" w:color="auto"/>
      </w:divBdr>
    </w:div>
    <w:div w:id="997878677">
      <w:bodyDiv w:val="1"/>
      <w:marLeft w:val="0"/>
      <w:marRight w:val="0"/>
      <w:marTop w:val="0"/>
      <w:marBottom w:val="0"/>
      <w:divBdr>
        <w:top w:val="none" w:sz="0" w:space="0" w:color="auto"/>
        <w:left w:val="none" w:sz="0" w:space="0" w:color="auto"/>
        <w:bottom w:val="none" w:sz="0" w:space="0" w:color="auto"/>
        <w:right w:val="none" w:sz="0" w:space="0" w:color="auto"/>
      </w:divBdr>
    </w:div>
    <w:div w:id="1330936988">
      <w:bodyDiv w:val="1"/>
      <w:marLeft w:val="0"/>
      <w:marRight w:val="0"/>
      <w:marTop w:val="0"/>
      <w:marBottom w:val="0"/>
      <w:divBdr>
        <w:top w:val="none" w:sz="0" w:space="0" w:color="auto"/>
        <w:left w:val="none" w:sz="0" w:space="0" w:color="auto"/>
        <w:bottom w:val="none" w:sz="0" w:space="0" w:color="auto"/>
        <w:right w:val="none" w:sz="0" w:space="0" w:color="auto"/>
      </w:divBdr>
    </w:div>
    <w:div w:id="1589386360">
      <w:bodyDiv w:val="1"/>
      <w:marLeft w:val="0"/>
      <w:marRight w:val="0"/>
      <w:marTop w:val="0"/>
      <w:marBottom w:val="0"/>
      <w:divBdr>
        <w:top w:val="none" w:sz="0" w:space="0" w:color="auto"/>
        <w:left w:val="none" w:sz="0" w:space="0" w:color="auto"/>
        <w:bottom w:val="none" w:sz="0" w:space="0" w:color="auto"/>
        <w:right w:val="none" w:sz="0" w:space="0" w:color="auto"/>
      </w:divBdr>
    </w:div>
    <w:div w:id="1752894927">
      <w:bodyDiv w:val="1"/>
      <w:marLeft w:val="0"/>
      <w:marRight w:val="0"/>
      <w:marTop w:val="0"/>
      <w:marBottom w:val="0"/>
      <w:divBdr>
        <w:top w:val="none" w:sz="0" w:space="0" w:color="auto"/>
        <w:left w:val="none" w:sz="0" w:space="0" w:color="auto"/>
        <w:bottom w:val="none" w:sz="0" w:space="0" w:color="auto"/>
        <w:right w:val="none" w:sz="0" w:space="0" w:color="auto"/>
      </w:divBdr>
      <w:divsChild>
        <w:div w:id="1195070745">
          <w:marLeft w:val="0"/>
          <w:marRight w:val="0"/>
          <w:marTop w:val="0"/>
          <w:marBottom w:val="0"/>
          <w:divBdr>
            <w:top w:val="single" w:sz="2" w:space="4" w:color="FFFFFF"/>
            <w:left w:val="single" w:sz="2" w:space="4" w:color="FFFFFF"/>
            <w:bottom w:val="none" w:sz="0" w:space="0" w:color="auto"/>
            <w:right w:val="none" w:sz="0" w:space="0" w:color="auto"/>
          </w:divBdr>
        </w:div>
      </w:divsChild>
    </w:div>
    <w:div w:id="1870870572">
      <w:bodyDiv w:val="1"/>
      <w:marLeft w:val="0"/>
      <w:marRight w:val="0"/>
      <w:marTop w:val="0"/>
      <w:marBottom w:val="0"/>
      <w:divBdr>
        <w:top w:val="none" w:sz="0" w:space="0" w:color="auto"/>
        <w:left w:val="none" w:sz="0" w:space="0" w:color="auto"/>
        <w:bottom w:val="none" w:sz="0" w:space="0" w:color="auto"/>
        <w:right w:val="none" w:sz="0" w:space="0" w:color="auto"/>
      </w:divBdr>
      <w:divsChild>
        <w:div w:id="1113399111">
          <w:marLeft w:val="0"/>
          <w:marRight w:val="0"/>
          <w:marTop w:val="0"/>
          <w:marBottom w:val="0"/>
          <w:divBdr>
            <w:top w:val="single" w:sz="2" w:space="4" w:color="FFFFFF"/>
            <w:left w:val="single" w:sz="2" w:space="4" w:color="FFFFFF"/>
            <w:bottom w:val="none" w:sz="0" w:space="0" w:color="auto"/>
            <w:right w:val="none" w:sz="0" w:space="0" w:color="auto"/>
          </w:divBdr>
        </w:div>
      </w:divsChild>
    </w:div>
    <w:div w:id="2074353037">
      <w:bodyDiv w:val="1"/>
      <w:marLeft w:val="0"/>
      <w:marRight w:val="0"/>
      <w:marTop w:val="0"/>
      <w:marBottom w:val="0"/>
      <w:divBdr>
        <w:top w:val="none" w:sz="0" w:space="0" w:color="auto"/>
        <w:left w:val="none" w:sz="0" w:space="0" w:color="auto"/>
        <w:bottom w:val="none" w:sz="0" w:space="0" w:color="auto"/>
        <w:right w:val="none" w:sz="0" w:space="0" w:color="auto"/>
      </w:divBdr>
      <w:divsChild>
        <w:div w:id="1548882331">
          <w:marLeft w:val="0"/>
          <w:marRight w:val="0"/>
          <w:marTop w:val="0"/>
          <w:marBottom w:val="0"/>
          <w:divBdr>
            <w:top w:val="single" w:sz="2" w:space="4" w:color="FFFFFF"/>
            <w:left w:val="single" w:sz="2" w:space="4" w:color="FFFFFF"/>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ssible@sen.parl.g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canada.ca/fr/accessibility/retroa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ccessibilite.canada.ca/destination-2040-feuille-de-ro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le@sen.parl.gc.ca" TargetMode="External"/><Relationship Id="rId5" Type="http://schemas.openxmlformats.org/officeDocument/2006/relationships/webSettings" Target="webSettings.xml"/><Relationship Id="rId15" Type="http://schemas.openxmlformats.org/officeDocument/2006/relationships/hyperlink" Target="https://sencanada.ca/media/5wjpehfk/senate-of-canada_accessibility-plan-2023-2025_audio_fr.mp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ncanada.ca/fr/accessibilit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08D4-2C78-4C6E-9109-064257D8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6029</Words>
  <Characters>34369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d'accessibilité</dc:title>
  <dc:subject/>
  <dc:creator/>
  <cp:keywords>Accessibility</cp:keywords>
  <dc:description/>
  <cp:lastModifiedBy/>
  <cp:revision>1</cp:revision>
  <dcterms:created xsi:type="dcterms:W3CDTF">2022-11-30T14:34:00Z</dcterms:created>
  <dcterms:modified xsi:type="dcterms:W3CDTF">2023-09-28T15:51:00Z</dcterms:modified>
</cp:coreProperties>
</file>